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288A" w:rsidRDefault="00A3705B">
      <w:pPr>
        <w:autoSpaceDE w:val="0"/>
        <w:autoSpaceDN w:val="0"/>
        <w:adjustRightInd w:val="0"/>
        <w:spacing w:before="1200" w:after="0"/>
        <w:jc w:val="center"/>
        <w:rPr>
          <w:rFonts w:cs="Times New Roman"/>
          <w:kern w:val="0"/>
          <w:sz w:val="24"/>
          <w:szCs w:val="24"/>
        </w:rPr>
      </w:pPr>
      <w:r>
        <w:rPr>
          <w:rFonts w:cs="Times New Roman"/>
          <w:kern w:val="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111pt;height:124.8pt;mso-wrap-style:square;mso-position-horizontal-relative:page;mso-position-vertical-relative:page">
            <v:imagedata r:id="rId6" o:title=""/>
          </v:shape>
        </w:pict>
      </w:r>
    </w:p>
    <w:p w:rsidR="00A9288A" w:rsidRDefault="007A4434">
      <w:pPr>
        <w:spacing w:before="200" w:after="200"/>
        <w:jc w:val="center"/>
        <w:rPr>
          <w:rFonts w:eastAsia="Times New Roman" w:cs="Times New Roman"/>
          <w:b/>
          <w:bCs/>
          <w:sz w:val="36"/>
          <w:szCs w:val="36"/>
        </w:rPr>
      </w:pPr>
      <w:r>
        <w:rPr>
          <w:rFonts w:hint="eastAsia"/>
          <w:b/>
          <w:bCs/>
          <w:sz w:val="36"/>
          <w:szCs w:val="36"/>
        </w:rPr>
        <w:t>北京海兰信数据科技股份有限公司</w:t>
      </w:r>
    </w:p>
    <w:p w:rsidR="00A9288A" w:rsidRDefault="007A4434">
      <w:pPr>
        <w:spacing w:before="400" w:after="0"/>
        <w:jc w:val="center"/>
        <w:rPr>
          <w:rFonts w:eastAsia="Times New Roman" w:cs="Times New Roman"/>
          <w:b/>
          <w:bCs/>
          <w:sz w:val="32"/>
          <w:szCs w:val="32"/>
        </w:rPr>
      </w:pPr>
      <w:r>
        <w:rPr>
          <w:rFonts w:cs="Times New Roman"/>
          <w:b/>
          <w:bCs/>
          <w:sz w:val="32"/>
          <w:szCs w:val="32"/>
        </w:rPr>
        <w:t>2018</w:t>
      </w:r>
      <w:r>
        <w:rPr>
          <w:rFonts w:hint="eastAsia"/>
          <w:b/>
          <w:bCs/>
          <w:sz w:val="32"/>
          <w:szCs w:val="32"/>
        </w:rPr>
        <w:t>年半年度报告</w:t>
      </w:r>
    </w:p>
    <w:p w:rsidR="00A9288A" w:rsidRDefault="007A4434">
      <w:pPr>
        <w:spacing w:before="400" w:after="0"/>
        <w:jc w:val="center"/>
        <w:rPr>
          <w:rFonts w:cs="Times New Roman"/>
          <w:b/>
          <w:bCs/>
          <w:sz w:val="22"/>
          <w:szCs w:val="22"/>
        </w:rPr>
      </w:pPr>
      <w:r>
        <w:rPr>
          <w:rFonts w:cs="Times New Roman"/>
          <w:b/>
          <w:bCs/>
          <w:sz w:val="22"/>
          <w:szCs w:val="22"/>
        </w:rPr>
        <w:t>2018-081</w:t>
      </w:r>
    </w:p>
    <w:p w:rsidR="00A9288A" w:rsidRDefault="007A4434">
      <w:pPr>
        <w:spacing w:before="6000" w:after="0"/>
        <w:jc w:val="center"/>
        <w:rPr>
          <w:rFonts w:eastAsia="Times New Roman" w:cs="Times New Roman"/>
          <w:b/>
          <w:bCs/>
          <w:sz w:val="32"/>
          <w:szCs w:val="32"/>
        </w:rPr>
      </w:pPr>
      <w:r>
        <w:rPr>
          <w:rFonts w:cs="Times New Roman"/>
          <w:b/>
          <w:bCs/>
          <w:sz w:val="32"/>
          <w:szCs w:val="32"/>
        </w:rPr>
        <w:t>2018</w:t>
      </w:r>
      <w:r>
        <w:rPr>
          <w:rFonts w:hint="eastAsia"/>
          <w:b/>
          <w:bCs/>
          <w:sz w:val="32"/>
          <w:szCs w:val="32"/>
        </w:rPr>
        <w:t>年</w:t>
      </w:r>
      <w:r>
        <w:rPr>
          <w:rFonts w:cs="Times New Roman"/>
          <w:b/>
          <w:bCs/>
          <w:sz w:val="32"/>
          <w:szCs w:val="32"/>
        </w:rPr>
        <w:t>08</w:t>
      </w:r>
      <w:r>
        <w:rPr>
          <w:rFonts w:hint="eastAsia"/>
          <w:b/>
          <w:bCs/>
          <w:sz w:val="32"/>
          <w:szCs w:val="32"/>
        </w:rPr>
        <w:t>月</w:t>
      </w:r>
    </w:p>
    <w:p w:rsidR="00A9288A" w:rsidRDefault="00A9288A">
      <w:pPr>
        <w:spacing w:before="6000" w:after="0"/>
        <w:jc w:val="center"/>
        <w:rPr>
          <w:rFonts w:eastAsia="Times New Roman" w:cs="Times New Roman"/>
          <w:b/>
          <w:bCs/>
          <w:sz w:val="32"/>
          <w:szCs w:val="32"/>
        </w:rPr>
        <w:sectPr w:rsidR="00A9288A">
          <w:headerReference w:type="default" r:id="rId7"/>
          <w:footerReference w:type="default" r:id="rId8"/>
          <w:pgSz w:w="11906" w:h="16838"/>
          <w:pgMar w:top="1440" w:right="1134" w:bottom="1440" w:left="1134" w:header="720" w:footer="720" w:gutter="0"/>
          <w:cols w:space="720"/>
        </w:sectPr>
      </w:pPr>
    </w:p>
    <w:p w:rsidR="00A9288A" w:rsidRDefault="007A4434">
      <w:pPr>
        <w:pStyle w:val="a6"/>
        <w:outlineLvl w:val="0"/>
        <w:rPr>
          <w:rFonts w:eastAsia="Times New Roman" w:cs="Times New Roman"/>
        </w:rPr>
      </w:pPr>
      <w:bookmarkStart w:id="0" w:name="_Toc521663252"/>
      <w:r>
        <w:rPr>
          <w:rFonts w:hint="eastAsia"/>
        </w:rPr>
        <w:lastRenderedPageBreak/>
        <w:t>第一节</w:t>
      </w:r>
      <w:r>
        <w:rPr>
          <w:rFonts w:cs="Times New Roman"/>
        </w:rPr>
        <w:t xml:space="preserve"> </w:t>
      </w:r>
      <w:r>
        <w:rPr>
          <w:rFonts w:hint="eastAsia"/>
        </w:rPr>
        <w:t>重要提示、目录和释义</w:t>
      </w:r>
      <w:bookmarkEnd w:id="0"/>
    </w:p>
    <w:p w:rsidR="00A9288A" w:rsidRDefault="007A4434">
      <w:pPr>
        <w:spacing w:before="100" w:after="100"/>
        <w:ind w:firstLineChars="200" w:firstLine="562"/>
        <w:rPr>
          <w:rFonts w:eastAsia="Times New Roman" w:cs="Times New Roman"/>
          <w:b/>
          <w:bCs/>
          <w:sz w:val="28"/>
          <w:szCs w:val="28"/>
        </w:rPr>
      </w:pPr>
      <w:r>
        <w:rPr>
          <w:rFonts w:hint="eastAsia"/>
          <w:b/>
          <w:bCs/>
          <w:sz w:val="28"/>
          <w:szCs w:val="28"/>
        </w:rPr>
        <w:t>公司董事会、监事会及董事、监事、高级管理人员保证半年度报告内容的真实、准确、完整，不存在虚假记载、误导性陈述或者重大遗漏，并承担个别和连带的法律责任。</w:t>
      </w:r>
    </w:p>
    <w:p w:rsidR="00A9288A" w:rsidRDefault="007A4434">
      <w:pPr>
        <w:spacing w:before="100" w:after="100"/>
        <w:ind w:firstLineChars="200" w:firstLine="562"/>
        <w:rPr>
          <w:rFonts w:eastAsia="Times New Roman" w:cs="Times New Roman"/>
          <w:b/>
          <w:bCs/>
          <w:sz w:val="28"/>
          <w:szCs w:val="28"/>
        </w:rPr>
      </w:pPr>
      <w:r>
        <w:rPr>
          <w:rFonts w:hint="eastAsia"/>
          <w:b/>
          <w:bCs/>
          <w:sz w:val="28"/>
          <w:szCs w:val="28"/>
        </w:rPr>
        <w:t>公司负责人申万秋、主管会计工作负责人柳丽华及会计机构负责人</w:t>
      </w:r>
      <w:r>
        <w:rPr>
          <w:rFonts w:cs="Times New Roman"/>
          <w:b/>
          <w:bCs/>
          <w:sz w:val="28"/>
          <w:szCs w:val="28"/>
        </w:rPr>
        <w:t>(</w:t>
      </w:r>
      <w:r>
        <w:rPr>
          <w:rFonts w:hint="eastAsia"/>
          <w:b/>
          <w:bCs/>
          <w:sz w:val="28"/>
          <w:szCs w:val="28"/>
        </w:rPr>
        <w:t>会计主管人员</w:t>
      </w:r>
      <w:r>
        <w:rPr>
          <w:rFonts w:cs="Times New Roman"/>
          <w:b/>
          <w:bCs/>
          <w:sz w:val="28"/>
          <w:szCs w:val="28"/>
        </w:rPr>
        <w:t>)</w:t>
      </w:r>
      <w:r>
        <w:rPr>
          <w:rFonts w:hint="eastAsia"/>
          <w:b/>
          <w:bCs/>
          <w:sz w:val="28"/>
          <w:szCs w:val="28"/>
        </w:rPr>
        <w:t>柳丽华声明：保证本半年度报告中财务报告的真实、准确、完整。</w:t>
      </w:r>
    </w:p>
    <w:p w:rsidR="00A9288A" w:rsidRDefault="007A4434">
      <w:pPr>
        <w:spacing w:before="100" w:after="100"/>
        <w:ind w:firstLineChars="200" w:firstLine="562"/>
        <w:rPr>
          <w:rFonts w:eastAsia="Times New Roman" w:cs="Times New Roman"/>
          <w:b/>
          <w:bCs/>
          <w:sz w:val="28"/>
          <w:szCs w:val="28"/>
        </w:rPr>
      </w:pPr>
      <w:r>
        <w:rPr>
          <w:rFonts w:hint="eastAsia"/>
          <w:b/>
          <w:bCs/>
          <w:sz w:val="28"/>
          <w:szCs w:val="28"/>
        </w:rPr>
        <w:t>所有董事均已出席了审议本报告的董事会会议。</w:t>
      </w:r>
    </w:p>
    <w:p w:rsidR="00A9288A" w:rsidRDefault="007A4434">
      <w:pPr>
        <w:spacing w:before="100" w:after="100"/>
        <w:ind w:firstLineChars="200" w:firstLine="562"/>
        <w:rPr>
          <w:rFonts w:eastAsia="Times New Roman" w:cs="Times New Roman"/>
          <w:b/>
          <w:bCs/>
          <w:sz w:val="28"/>
          <w:szCs w:val="28"/>
        </w:rPr>
      </w:pPr>
      <w:r>
        <w:rPr>
          <w:rFonts w:hint="eastAsia"/>
          <w:b/>
          <w:bCs/>
          <w:sz w:val="28"/>
          <w:szCs w:val="28"/>
        </w:rPr>
        <w:t>公司在本报告第四节</w:t>
      </w:r>
      <w:r>
        <w:rPr>
          <w:rFonts w:cs="Times New Roman"/>
          <w:b/>
          <w:bCs/>
          <w:sz w:val="28"/>
          <w:szCs w:val="28"/>
        </w:rPr>
        <w:t>“</w:t>
      </w:r>
      <w:r>
        <w:rPr>
          <w:rFonts w:hint="eastAsia"/>
          <w:b/>
          <w:bCs/>
          <w:sz w:val="28"/>
          <w:szCs w:val="28"/>
        </w:rPr>
        <w:t>经营情况讨论与分析</w:t>
      </w:r>
      <w:r>
        <w:rPr>
          <w:rFonts w:cs="Times New Roman"/>
          <w:b/>
          <w:bCs/>
          <w:sz w:val="28"/>
          <w:szCs w:val="28"/>
        </w:rPr>
        <w:t>”</w:t>
      </w:r>
      <w:r>
        <w:rPr>
          <w:rFonts w:hint="eastAsia"/>
          <w:b/>
          <w:bCs/>
          <w:sz w:val="28"/>
          <w:szCs w:val="28"/>
        </w:rPr>
        <w:t>之</w:t>
      </w:r>
      <w:r>
        <w:rPr>
          <w:rFonts w:cs="Times New Roman"/>
          <w:b/>
          <w:bCs/>
          <w:sz w:val="28"/>
          <w:szCs w:val="28"/>
        </w:rPr>
        <w:t>“</w:t>
      </w:r>
      <w:r>
        <w:rPr>
          <w:rFonts w:hint="eastAsia"/>
          <w:b/>
          <w:bCs/>
          <w:sz w:val="28"/>
          <w:szCs w:val="28"/>
        </w:rPr>
        <w:t>十、公司面临的风险和应对措施</w:t>
      </w:r>
      <w:r>
        <w:rPr>
          <w:rFonts w:cs="Times New Roman"/>
          <w:b/>
          <w:bCs/>
          <w:sz w:val="28"/>
          <w:szCs w:val="28"/>
        </w:rPr>
        <w:t>”</w:t>
      </w:r>
      <w:r>
        <w:rPr>
          <w:rFonts w:hint="eastAsia"/>
          <w:b/>
          <w:bCs/>
          <w:sz w:val="28"/>
          <w:szCs w:val="28"/>
        </w:rPr>
        <w:t>，详细描述了公司经营中可能存在的风险及应对措施，敬请投资者关注相关内容。</w:t>
      </w:r>
    </w:p>
    <w:p w:rsidR="00A9288A" w:rsidRDefault="007A4434">
      <w:pPr>
        <w:spacing w:before="100" w:after="100"/>
        <w:ind w:firstLineChars="200" w:firstLine="562"/>
        <w:rPr>
          <w:rFonts w:eastAsia="Times New Roman" w:cs="Times New Roman"/>
          <w:b/>
          <w:bCs/>
          <w:sz w:val="28"/>
          <w:szCs w:val="28"/>
        </w:rPr>
      </w:pPr>
      <w:r>
        <w:rPr>
          <w:rFonts w:hint="eastAsia"/>
          <w:b/>
          <w:bCs/>
          <w:sz w:val="28"/>
          <w:szCs w:val="28"/>
        </w:rPr>
        <w:t>公司计划不派发现金红利，不送红股，不以公积金转增股本。</w:t>
      </w:r>
    </w:p>
    <w:p w:rsidR="00A9288A" w:rsidRDefault="00A9288A">
      <w:pPr>
        <w:spacing w:before="100" w:after="100"/>
        <w:ind w:firstLineChars="200" w:firstLine="562"/>
        <w:rPr>
          <w:rFonts w:eastAsia="Times New Roman" w:cs="Times New Roman"/>
          <w:b/>
          <w:bCs/>
          <w:sz w:val="28"/>
          <w:szCs w:val="28"/>
        </w:rPr>
        <w:sectPr w:rsidR="00A9288A">
          <w:pgSz w:w="11906" w:h="16838"/>
          <w:pgMar w:top="1440" w:right="1134" w:bottom="1440" w:left="1134" w:header="851" w:footer="992" w:gutter="0"/>
          <w:cols w:space="720"/>
          <w:docGrid w:type="lines" w:linePitch="312"/>
        </w:sectPr>
      </w:pPr>
    </w:p>
    <w:p w:rsidR="00A9288A" w:rsidRDefault="007A4434">
      <w:pPr>
        <w:spacing w:before="1400" w:after="1400"/>
        <w:jc w:val="center"/>
        <w:rPr>
          <w:rFonts w:eastAsia="Times New Roman" w:cs="Times New Roman"/>
          <w:b/>
          <w:bCs/>
          <w:sz w:val="36"/>
          <w:szCs w:val="36"/>
        </w:rPr>
      </w:pPr>
      <w:r>
        <w:rPr>
          <w:rFonts w:hint="eastAsia"/>
          <w:b/>
          <w:bCs/>
          <w:sz w:val="36"/>
          <w:szCs w:val="36"/>
        </w:rPr>
        <w:lastRenderedPageBreak/>
        <w:t>目录</w:t>
      </w:r>
    </w:p>
    <w:p w:rsidR="00A3705B" w:rsidRPr="00A3705B" w:rsidRDefault="007A4434" w:rsidP="00A3705B">
      <w:pPr>
        <w:tabs>
          <w:tab w:val="right" w:leader="dot" w:pos="9628"/>
        </w:tabs>
        <w:spacing w:before="180" w:after="180"/>
        <w:rPr>
          <w:rFonts w:ascii="宋体" w:hAnsi="宋体"/>
          <w:b/>
          <w:bCs/>
          <w:color w:val="000000"/>
          <w:sz w:val="24"/>
          <w:szCs w:val="24"/>
        </w:rPr>
      </w:pPr>
      <w:r w:rsidRPr="00A3705B">
        <w:rPr>
          <w:rFonts w:ascii="宋体" w:hAnsi="宋体"/>
          <w:b/>
          <w:bCs/>
          <w:color w:val="000000"/>
          <w:sz w:val="24"/>
          <w:szCs w:val="24"/>
        </w:rPr>
        <w:fldChar w:fldCharType="begin"/>
      </w:r>
      <w:r w:rsidRPr="00A3705B">
        <w:rPr>
          <w:rFonts w:ascii="宋体" w:hAnsi="宋体"/>
          <w:b/>
          <w:bCs/>
          <w:color w:val="000000"/>
          <w:sz w:val="24"/>
          <w:szCs w:val="24"/>
        </w:rPr>
        <w:instrText xml:space="preserve"> TOC \h \z \t "</w:instrText>
      </w:r>
      <w:r w:rsidRPr="00A3705B">
        <w:rPr>
          <w:rFonts w:ascii="宋体" w:hAnsi="宋体" w:hint="eastAsia"/>
          <w:b/>
          <w:bCs/>
          <w:color w:val="000000"/>
          <w:sz w:val="24"/>
          <w:szCs w:val="24"/>
        </w:rPr>
        <w:instrText>标题</w:instrText>
      </w:r>
      <w:r w:rsidRPr="00A3705B">
        <w:rPr>
          <w:rFonts w:ascii="宋体" w:hAnsi="宋体"/>
          <w:b/>
          <w:bCs/>
          <w:color w:val="000000"/>
          <w:sz w:val="24"/>
          <w:szCs w:val="24"/>
        </w:rPr>
        <w:instrText xml:space="preserve">,1" </w:instrText>
      </w:r>
      <w:r w:rsidRPr="00A3705B">
        <w:rPr>
          <w:rFonts w:ascii="宋体" w:hAnsi="宋体"/>
          <w:b/>
          <w:bCs/>
          <w:color w:val="000000"/>
          <w:sz w:val="24"/>
          <w:szCs w:val="24"/>
        </w:rPr>
        <w:fldChar w:fldCharType="separate"/>
      </w:r>
      <w:hyperlink w:anchor="_Toc521663252" w:history="1">
        <w:r w:rsidR="00A3705B" w:rsidRPr="00A3705B">
          <w:rPr>
            <w:rFonts w:ascii="宋体" w:hAnsi="宋体" w:hint="eastAsia"/>
            <w:b/>
            <w:bCs/>
            <w:color w:val="000000"/>
            <w:sz w:val="24"/>
            <w:szCs w:val="24"/>
          </w:rPr>
          <w:t>第一节</w:t>
        </w:r>
        <w:r w:rsidR="00A3705B" w:rsidRPr="00A3705B">
          <w:rPr>
            <w:rFonts w:ascii="宋体" w:hAnsi="宋体"/>
            <w:b/>
            <w:bCs/>
            <w:color w:val="000000"/>
            <w:sz w:val="24"/>
            <w:szCs w:val="24"/>
          </w:rPr>
          <w:t xml:space="preserve"> </w:t>
        </w:r>
        <w:r w:rsidR="00A3705B" w:rsidRPr="00A3705B">
          <w:rPr>
            <w:rFonts w:ascii="宋体" w:hAnsi="宋体" w:hint="eastAsia"/>
            <w:b/>
            <w:bCs/>
            <w:color w:val="000000"/>
            <w:sz w:val="24"/>
            <w:szCs w:val="24"/>
          </w:rPr>
          <w:t>重要提示、目录和释义</w:t>
        </w:r>
        <w:r w:rsidR="00A3705B" w:rsidRPr="00A3705B">
          <w:rPr>
            <w:rFonts w:ascii="宋体" w:hAnsi="宋体"/>
            <w:b/>
            <w:bCs/>
            <w:webHidden/>
            <w:color w:val="000000"/>
            <w:sz w:val="24"/>
            <w:szCs w:val="24"/>
          </w:rPr>
          <w:tab/>
        </w:r>
        <w:r w:rsidR="00A3705B" w:rsidRPr="00A3705B">
          <w:rPr>
            <w:rFonts w:ascii="宋体" w:hAnsi="宋体"/>
            <w:b/>
            <w:bCs/>
            <w:webHidden/>
            <w:color w:val="000000"/>
            <w:sz w:val="24"/>
            <w:szCs w:val="24"/>
          </w:rPr>
          <w:fldChar w:fldCharType="begin"/>
        </w:r>
        <w:r w:rsidR="00A3705B" w:rsidRPr="00A3705B">
          <w:rPr>
            <w:rFonts w:ascii="宋体" w:hAnsi="宋体"/>
            <w:b/>
            <w:bCs/>
            <w:webHidden/>
            <w:color w:val="000000"/>
            <w:sz w:val="24"/>
            <w:szCs w:val="24"/>
          </w:rPr>
          <w:instrText xml:space="preserve"> PAGEREF _Toc521663252 \h </w:instrText>
        </w:r>
        <w:r w:rsidR="00A3705B" w:rsidRPr="00A3705B">
          <w:rPr>
            <w:rFonts w:ascii="宋体" w:hAnsi="宋体"/>
            <w:b/>
            <w:bCs/>
            <w:webHidden/>
            <w:color w:val="000000"/>
            <w:sz w:val="24"/>
            <w:szCs w:val="24"/>
          </w:rPr>
        </w:r>
        <w:r w:rsidR="00A3705B" w:rsidRPr="00A3705B">
          <w:rPr>
            <w:rFonts w:ascii="宋体" w:hAnsi="宋体"/>
            <w:b/>
            <w:bCs/>
            <w:webHidden/>
            <w:color w:val="000000"/>
            <w:sz w:val="24"/>
            <w:szCs w:val="24"/>
          </w:rPr>
          <w:fldChar w:fldCharType="separate"/>
        </w:r>
        <w:r w:rsidR="00A3705B" w:rsidRPr="00A3705B">
          <w:rPr>
            <w:rFonts w:ascii="宋体" w:hAnsi="宋体"/>
            <w:b/>
            <w:bCs/>
            <w:webHidden/>
            <w:color w:val="000000"/>
            <w:sz w:val="24"/>
            <w:szCs w:val="24"/>
          </w:rPr>
          <w:t>2</w:t>
        </w:r>
        <w:r w:rsidR="00A3705B" w:rsidRPr="00A3705B">
          <w:rPr>
            <w:rFonts w:ascii="宋体" w:hAnsi="宋体"/>
            <w:b/>
            <w:bCs/>
            <w:webHidden/>
            <w:color w:val="000000"/>
            <w:sz w:val="24"/>
            <w:szCs w:val="24"/>
          </w:rPr>
          <w:fldChar w:fldCharType="end"/>
        </w:r>
      </w:hyperlink>
    </w:p>
    <w:p w:rsidR="00A3705B" w:rsidRPr="00A3705B" w:rsidRDefault="00A3705B" w:rsidP="00A3705B">
      <w:pPr>
        <w:tabs>
          <w:tab w:val="right" w:leader="dot" w:pos="9628"/>
        </w:tabs>
        <w:spacing w:before="180" w:after="180"/>
        <w:rPr>
          <w:rFonts w:ascii="宋体" w:hAnsi="宋体"/>
          <w:b/>
          <w:bCs/>
          <w:color w:val="000000"/>
          <w:sz w:val="24"/>
          <w:szCs w:val="24"/>
        </w:rPr>
      </w:pPr>
      <w:hyperlink w:anchor="_Toc521663253" w:history="1">
        <w:r w:rsidRPr="00A3705B">
          <w:rPr>
            <w:rFonts w:ascii="宋体" w:hAnsi="宋体" w:hint="eastAsia"/>
            <w:b/>
            <w:bCs/>
            <w:color w:val="000000"/>
            <w:sz w:val="24"/>
            <w:szCs w:val="24"/>
          </w:rPr>
          <w:t>第二节</w:t>
        </w:r>
        <w:r w:rsidRPr="00A3705B">
          <w:rPr>
            <w:rFonts w:ascii="宋体" w:hAnsi="宋体"/>
            <w:b/>
            <w:bCs/>
            <w:color w:val="000000"/>
            <w:sz w:val="24"/>
            <w:szCs w:val="24"/>
          </w:rPr>
          <w:t xml:space="preserve"> </w:t>
        </w:r>
        <w:r w:rsidRPr="00A3705B">
          <w:rPr>
            <w:rFonts w:ascii="宋体" w:hAnsi="宋体" w:hint="eastAsia"/>
            <w:b/>
            <w:bCs/>
            <w:color w:val="000000"/>
            <w:sz w:val="24"/>
            <w:szCs w:val="24"/>
          </w:rPr>
          <w:t>公司简介和主要财务指标</w:t>
        </w:r>
        <w:r w:rsidRPr="00A3705B">
          <w:rPr>
            <w:rFonts w:ascii="宋体" w:hAnsi="宋体"/>
            <w:b/>
            <w:bCs/>
            <w:webHidden/>
            <w:color w:val="000000"/>
            <w:sz w:val="24"/>
            <w:szCs w:val="24"/>
          </w:rPr>
          <w:tab/>
        </w:r>
        <w:r w:rsidRPr="00A3705B">
          <w:rPr>
            <w:rFonts w:ascii="宋体" w:hAnsi="宋体"/>
            <w:b/>
            <w:bCs/>
            <w:webHidden/>
            <w:color w:val="000000"/>
            <w:sz w:val="24"/>
            <w:szCs w:val="24"/>
          </w:rPr>
          <w:fldChar w:fldCharType="begin"/>
        </w:r>
        <w:r w:rsidRPr="00A3705B">
          <w:rPr>
            <w:rFonts w:ascii="宋体" w:hAnsi="宋体"/>
            <w:b/>
            <w:bCs/>
            <w:webHidden/>
            <w:color w:val="000000"/>
            <w:sz w:val="24"/>
            <w:szCs w:val="24"/>
          </w:rPr>
          <w:instrText xml:space="preserve"> PAGEREF _Toc521663253 \h </w:instrText>
        </w:r>
        <w:r w:rsidRPr="00A3705B">
          <w:rPr>
            <w:rFonts w:ascii="宋体" w:hAnsi="宋体"/>
            <w:b/>
            <w:bCs/>
            <w:webHidden/>
            <w:color w:val="000000"/>
            <w:sz w:val="24"/>
            <w:szCs w:val="24"/>
          </w:rPr>
        </w:r>
        <w:r w:rsidRPr="00A3705B">
          <w:rPr>
            <w:rFonts w:ascii="宋体" w:hAnsi="宋体"/>
            <w:b/>
            <w:bCs/>
            <w:webHidden/>
            <w:color w:val="000000"/>
            <w:sz w:val="24"/>
            <w:szCs w:val="24"/>
          </w:rPr>
          <w:fldChar w:fldCharType="separate"/>
        </w:r>
        <w:r w:rsidRPr="00A3705B">
          <w:rPr>
            <w:rFonts w:ascii="宋体" w:hAnsi="宋体"/>
            <w:b/>
            <w:bCs/>
            <w:webHidden/>
            <w:color w:val="000000"/>
            <w:sz w:val="24"/>
            <w:szCs w:val="24"/>
          </w:rPr>
          <w:t>8</w:t>
        </w:r>
        <w:r w:rsidRPr="00A3705B">
          <w:rPr>
            <w:rFonts w:ascii="宋体" w:hAnsi="宋体"/>
            <w:b/>
            <w:bCs/>
            <w:webHidden/>
            <w:color w:val="000000"/>
            <w:sz w:val="24"/>
            <w:szCs w:val="24"/>
          </w:rPr>
          <w:fldChar w:fldCharType="end"/>
        </w:r>
      </w:hyperlink>
    </w:p>
    <w:p w:rsidR="00A3705B" w:rsidRPr="00A3705B" w:rsidRDefault="00A3705B" w:rsidP="00A3705B">
      <w:pPr>
        <w:tabs>
          <w:tab w:val="right" w:leader="dot" w:pos="9628"/>
        </w:tabs>
        <w:spacing w:before="180" w:after="180"/>
        <w:rPr>
          <w:rFonts w:ascii="宋体" w:hAnsi="宋体"/>
          <w:b/>
          <w:bCs/>
          <w:color w:val="000000"/>
          <w:sz w:val="24"/>
          <w:szCs w:val="24"/>
        </w:rPr>
      </w:pPr>
      <w:hyperlink w:anchor="_Toc521663254" w:history="1">
        <w:r w:rsidRPr="00A3705B">
          <w:rPr>
            <w:rFonts w:ascii="宋体" w:hAnsi="宋体" w:hint="eastAsia"/>
            <w:b/>
            <w:bCs/>
            <w:color w:val="000000"/>
            <w:sz w:val="24"/>
            <w:szCs w:val="24"/>
          </w:rPr>
          <w:t>第三节</w:t>
        </w:r>
        <w:r w:rsidRPr="00A3705B">
          <w:rPr>
            <w:rFonts w:ascii="宋体" w:hAnsi="宋体"/>
            <w:b/>
            <w:bCs/>
            <w:color w:val="000000"/>
            <w:sz w:val="24"/>
            <w:szCs w:val="24"/>
          </w:rPr>
          <w:t xml:space="preserve"> </w:t>
        </w:r>
        <w:r w:rsidRPr="00A3705B">
          <w:rPr>
            <w:rFonts w:ascii="宋体" w:hAnsi="宋体" w:hint="eastAsia"/>
            <w:b/>
            <w:bCs/>
            <w:color w:val="000000"/>
            <w:sz w:val="24"/>
            <w:szCs w:val="24"/>
          </w:rPr>
          <w:t>公司业务概要</w:t>
        </w:r>
        <w:r w:rsidRPr="00A3705B">
          <w:rPr>
            <w:rFonts w:ascii="宋体" w:hAnsi="宋体"/>
            <w:b/>
            <w:bCs/>
            <w:webHidden/>
            <w:color w:val="000000"/>
            <w:sz w:val="24"/>
            <w:szCs w:val="24"/>
          </w:rPr>
          <w:tab/>
        </w:r>
        <w:r w:rsidRPr="00A3705B">
          <w:rPr>
            <w:rFonts w:ascii="宋体" w:hAnsi="宋体"/>
            <w:b/>
            <w:bCs/>
            <w:webHidden/>
            <w:color w:val="000000"/>
            <w:sz w:val="24"/>
            <w:szCs w:val="24"/>
          </w:rPr>
          <w:fldChar w:fldCharType="begin"/>
        </w:r>
        <w:r w:rsidRPr="00A3705B">
          <w:rPr>
            <w:rFonts w:ascii="宋体" w:hAnsi="宋体"/>
            <w:b/>
            <w:bCs/>
            <w:webHidden/>
            <w:color w:val="000000"/>
            <w:sz w:val="24"/>
            <w:szCs w:val="24"/>
          </w:rPr>
          <w:instrText xml:space="preserve"> PAGEREF _Toc521663254 \h </w:instrText>
        </w:r>
        <w:r w:rsidRPr="00A3705B">
          <w:rPr>
            <w:rFonts w:ascii="宋体" w:hAnsi="宋体"/>
            <w:b/>
            <w:bCs/>
            <w:webHidden/>
            <w:color w:val="000000"/>
            <w:sz w:val="24"/>
            <w:szCs w:val="24"/>
          </w:rPr>
        </w:r>
        <w:r w:rsidRPr="00A3705B">
          <w:rPr>
            <w:rFonts w:ascii="宋体" w:hAnsi="宋体"/>
            <w:b/>
            <w:bCs/>
            <w:webHidden/>
            <w:color w:val="000000"/>
            <w:sz w:val="24"/>
            <w:szCs w:val="24"/>
          </w:rPr>
          <w:fldChar w:fldCharType="separate"/>
        </w:r>
        <w:r w:rsidRPr="00A3705B">
          <w:rPr>
            <w:rFonts w:ascii="宋体" w:hAnsi="宋体"/>
            <w:b/>
            <w:bCs/>
            <w:webHidden/>
            <w:color w:val="000000"/>
            <w:sz w:val="24"/>
            <w:szCs w:val="24"/>
          </w:rPr>
          <w:t>11</w:t>
        </w:r>
        <w:r w:rsidRPr="00A3705B">
          <w:rPr>
            <w:rFonts w:ascii="宋体" w:hAnsi="宋体"/>
            <w:b/>
            <w:bCs/>
            <w:webHidden/>
            <w:color w:val="000000"/>
            <w:sz w:val="24"/>
            <w:szCs w:val="24"/>
          </w:rPr>
          <w:fldChar w:fldCharType="end"/>
        </w:r>
      </w:hyperlink>
    </w:p>
    <w:p w:rsidR="00A3705B" w:rsidRPr="00A3705B" w:rsidRDefault="00A3705B" w:rsidP="00A3705B">
      <w:pPr>
        <w:tabs>
          <w:tab w:val="right" w:leader="dot" w:pos="9628"/>
        </w:tabs>
        <w:spacing w:before="180" w:after="180"/>
        <w:rPr>
          <w:rFonts w:ascii="宋体" w:hAnsi="宋体"/>
          <w:b/>
          <w:bCs/>
          <w:color w:val="000000"/>
          <w:sz w:val="24"/>
          <w:szCs w:val="24"/>
        </w:rPr>
      </w:pPr>
      <w:hyperlink w:anchor="_Toc521663255" w:history="1">
        <w:r w:rsidRPr="00A3705B">
          <w:rPr>
            <w:rFonts w:ascii="宋体" w:hAnsi="宋体" w:hint="eastAsia"/>
            <w:b/>
            <w:bCs/>
            <w:color w:val="000000"/>
            <w:sz w:val="24"/>
            <w:szCs w:val="24"/>
          </w:rPr>
          <w:t>第四节</w:t>
        </w:r>
        <w:r w:rsidRPr="00A3705B">
          <w:rPr>
            <w:rFonts w:ascii="宋体" w:hAnsi="宋体"/>
            <w:b/>
            <w:bCs/>
            <w:color w:val="000000"/>
            <w:sz w:val="24"/>
            <w:szCs w:val="24"/>
          </w:rPr>
          <w:t xml:space="preserve"> </w:t>
        </w:r>
        <w:r w:rsidRPr="00A3705B">
          <w:rPr>
            <w:rFonts w:ascii="宋体" w:hAnsi="宋体" w:hint="eastAsia"/>
            <w:b/>
            <w:bCs/>
            <w:color w:val="000000"/>
            <w:sz w:val="24"/>
            <w:szCs w:val="24"/>
          </w:rPr>
          <w:t>经营情况讨论与分析</w:t>
        </w:r>
        <w:r w:rsidRPr="00A3705B">
          <w:rPr>
            <w:rFonts w:ascii="宋体" w:hAnsi="宋体"/>
            <w:b/>
            <w:bCs/>
            <w:webHidden/>
            <w:color w:val="000000"/>
            <w:sz w:val="24"/>
            <w:szCs w:val="24"/>
          </w:rPr>
          <w:tab/>
        </w:r>
        <w:r w:rsidRPr="00A3705B">
          <w:rPr>
            <w:rFonts w:ascii="宋体" w:hAnsi="宋体"/>
            <w:b/>
            <w:bCs/>
            <w:webHidden/>
            <w:color w:val="000000"/>
            <w:sz w:val="24"/>
            <w:szCs w:val="24"/>
          </w:rPr>
          <w:fldChar w:fldCharType="begin"/>
        </w:r>
        <w:r w:rsidRPr="00A3705B">
          <w:rPr>
            <w:rFonts w:ascii="宋体" w:hAnsi="宋体"/>
            <w:b/>
            <w:bCs/>
            <w:webHidden/>
            <w:color w:val="000000"/>
            <w:sz w:val="24"/>
            <w:szCs w:val="24"/>
          </w:rPr>
          <w:instrText xml:space="preserve"> PAGEREF _Toc521663255 \h </w:instrText>
        </w:r>
        <w:r w:rsidRPr="00A3705B">
          <w:rPr>
            <w:rFonts w:ascii="宋体" w:hAnsi="宋体"/>
            <w:b/>
            <w:bCs/>
            <w:webHidden/>
            <w:color w:val="000000"/>
            <w:sz w:val="24"/>
            <w:szCs w:val="24"/>
          </w:rPr>
        </w:r>
        <w:r w:rsidRPr="00A3705B">
          <w:rPr>
            <w:rFonts w:ascii="宋体" w:hAnsi="宋体"/>
            <w:b/>
            <w:bCs/>
            <w:webHidden/>
            <w:color w:val="000000"/>
            <w:sz w:val="24"/>
            <w:szCs w:val="24"/>
          </w:rPr>
          <w:fldChar w:fldCharType="separate"/>
        </w:r>
        <w:r w:rsidRPr="00A3705B">
          <w:rPr>
            <w:rFonts w:ascii="宋体" w:hAnsi="宋体"/>
            <w:b/>
            <w:bCs/>
            <w:webHidden/>
            <w:color w:val="000000"/>
            <w:sz w:val="24"/>
            <w:szCs w:val="24"/>
          </w:rPr>
          <w:t>20</w:t>
        </w:r>
        <w:r w:rsidRPr="00A3705B">
          <w:rPr>
            <w:rFonts w:ascii="宋体" w:hAnsi="宋体"/>
            <w:b/>
            <w:bCs/>
            <w:webHidden/>
            <w:color w:val="000000"/>
            <w:sz w:val="24"/>
            <w:szCs w:val="24"/>
          </w:rPr>
          <w:fldChar w:fldCharType="end"/>
        </w:r>
      </w:hyperlink>
    </w:p>
    <w:p w:rsidR="00A3705B" w:rsidRPr="00A3705B" w:rsidRDefault="00A3705B" w:rsidP="00A3705B">
      <w:pPr>
        <w:tabs>
          <w:tab w:val="right" w:leader="dot" w:pos="9628"/>
        </w:tabs>
        <w:spacing w:before="180" w:after="180"/>
        <w:rPr>
          <w:rFonts w:ascii="宋体" w:hAnsi="宋体"/>
          <w:b/>
          <w:bCs/>
          <w:color w:val="000000"/>
          <w:sz w:val="24"/>
          <w:szCs w:val="24"/>
        </w:rPr>
      </w:pPr>
      <w:hyperlink w:anchor="_Toc521663256" w:history="1">
        <w:r w:rsidRPr="00A3705B">
          <w:rPr>
            <w:rFonts w:ascii="宋体" w:hAnsi="宋体" w:hint="eastAsia"/>
            <w:b/>
            <w:bCs/>
            <w:color w:val="000000"/>
            <w:sz w:val="24"/>
            <w:szCs w:val="24"/>
          </w:rPr>
          <w:t>第五节</w:t>
        </w:r>
        <w:r w:rsidRPr="00A3705B">
          <w:rPr>
            <w:rFonts w:ascii="宋体" w:hAnsi="宋体"/>
            <w:b/>
            <w:bCs/>
            <w:color w:val="000000"/>
            <w:sz w:val="24"/>
            <w:szCs w:val="24"/>
          </w:rPr>
          <w:t xml:space="preserve"> </w:t>
        </w:r>
        <w:r w:rsidRPr="00A3705B">
          <w:rPr>
            <w:rFonts w:ascii="宋体" w:hAnsi="宋体" w:hint="eastAsia"/>
            <w:b/>
            <w:bCs/>
            <w:color w:val="000000"/>
            <w:sz w:val="24"/>
            <w:szCs w:val="24"/>
          </w:rPr>
          <w:t>重要事项</w:t>
        </w:r>
        <w:r w:rsidRPr="00A3705B">
          <w:rPr>
            <w:rFonts w:ascii="宋体" w:hAnsi="宋体"/>
            <w:b/>
            <w:bCs/>
            <w:webHidden/>
            <w:color w:val="000000"/>
            <w:sz w:val="24"/>
            <w:szCs w:val="24"/>
          </w:rPr>
          <w:tab/>
        </w:r>
        <w:r w:rsidRPr="00A3705B">
          <w:rPr>
            <w:rFonts w:ascii="宋体" w:hAnsi="宋体"/>
            <w:b/>
            <w:bCs/>
            <w:webHidden/>
            <w:color w:val="000000"/>
            <w:sz w:val="24"/>
            <w:szCs w:val="24"/>
          </w:rPr>
          <w:fldChar w:fldCharType="begin"/>
        </w:r>
        <w:r w:rsidRPr="00A3705B">
          <w:rPr>
            <w:rFonts w:ascii="宋体" w:hAnsi="宋体"/>
            <w:b/>
            <w:bCs/>
            <w:webHidden/>
            <w:color w:val="000000"/>
            <w:sz w:val="24"/>
            <w:szCs w:val="24"/>
          </w:rPr>
          <w:instrText xml:space="preserve"> PAGEREF _Toc521663256 \h </w:instrText>
        </w:r>
        <w:r w:rsidRPr="00A3705B">
          <w:rPr>
            <w:rFonts w:ascii="宋体" w:hAnsi="宋体"/>
            <w:b/>
            <w:bCs/>
            <w:webHidden/>
            <w:color w:val="000000"/>
            <w:sz w:val="24"/>
            <w:szCs w:val="24"/>
          </w:rPr>
        </w:r>
        <w:r w:rsidRPr="00A3705B">
          <w:rPr>
            <w:rFonts w:ascii="宋体" w:hAnsi="宋体"/>
            <w:b/>
            <w:bCs/>
            <w:webHidden/>
            <w:color w:val="000000"/>
            <w:sz w:val="24"/>
            <w:szCs w:val="24"/>
          </w:rPr>
          <w:fldChar w:fldCharType="separate"/>
        </w:r>
        <w:r w:rsidRPr="00A3705B">
          <w:rPr>
            <w:rFonts w:ascii="宋体" w:hAnsi="宋体"/>
            <w:b/>
            <w:bCs/>
            <w:webHidden/>
            <w:color w:val="000000"/>
            <w:sz w:val="24"/>
            <w:szCs w:val="24"/>
          </w:rPr>
          <w:t>34</w:t>
        </w:r>
        <w:r w:rsidRPr="00A3705B">
          <w:rPr>
            <w:rFonts w:ascii="宋体" w:hAnsi="宋体"/>
            <w:b/>
            <w:bCs/>
            <w:webHidden/>
            <w:color w:val="000000"/>
            <w:sz w:val="24"/>
            <w:szCs w:val="24"/>
          </w:rPr>
          <w:fldChar w:fldCharType="end"/>
        </w:r>
      </w:hyperlink>
    </w:p>
    <w:p w:rsidR="00A3705B" w:rsidRPr="00A3705B" w:rsidRDefault="00A3705B" w:rsidP="00A3705B">
      <w:pPr>
        <w:tabs>
          <w:tab w:val="right" w:leader="dot" w:pos="9628"/>
        </w:tabs>
        <w:spacing w:before="180" w:after="180"/>
        <w:rPr>
          <w:rFonts w:ascii="宋体" w:hAnsi="宋体"/>
          <w:b/>
          <w:bCs/>
          <w:color w:val="000000"/>
          <w:sz w:val="24"/>
          <w:szCs w:val="24"/>
        </w:rPr>
      </w:pPr>
      <w:hyperlink w:anchor="_Toc521663257" w:history="1">
        <w:r w:rsidRPr="00A3705B">
          <w:rPr>
            <w:rFonts w:ascii="宋体" w:hAnsi="宋体" w:hint="eastAsia"/>
            <w:b/>
            <w:bCs/>
            <w:color w:val="000000"/>
            <w:sz w:val="24"/>
            <w:szCs w:val="24"/>
          </w:rPr>
          <w:t>第六节</w:t>
        </w:r>
        <w:r w:rsidRPr="00A3705B">
          <w:rPr>
            <w:rFonts w:ascii="宋体" w:hAnsi="宋体"/>
            <w:b/>
            <w:bCs/>
            <w:color w:val="000000"/>
            <w:sz w:val="24"/>
            <w:szCs w:val="24"/>
          </w:rPr>
          <w:t xml:space="preserve"> </w:t>
        </w:r>
        <w:r w:rsidRPr="00A3705B">
          <w:rPr>
            <w:rFonts w:ascii="宋体" w:hAnsi="宋体" w:hint="eastAsia"/>
            <w:b/>
            <w:bCs/>
            <w:color w:val="000000"/>
            <w:sz w:val="24"/>
            <w:szCs w:val="24"/>
          </w:rPr>
          <w:t>股份变动及股东情况</w:t>
        </w:r>
        <w:r w:rsidRPr="00A3705B">
          <w:rPr>
            <w:rFonts w:ascii="宋体" w:hAnsi="宋体"/>
            <w:b/>
            <w:bCs/>
            <w:webHidden/>
            <w:color w:val="000000"/>
            <w:sz w:val="24"/>
            <w:szCs w:val="24"/>
          </w:rPr>
          <w:tab/>
        </w:r>
        <w:r w:rsidRPr="00A3705B">
          <w:rPr>
            <w:rFonts w:ascii="宋体" w:hAnsi="宋体"/>
            <w:b/>
            <w:bCs/>
            <w:webHidden/>
            <w:color w:val="000000"/>
            <w:sz w:val="24"/>
            <w:szCs w:val="24"/>
          </w:rPr>
          <w:fldChar w:fldCharType="begin"/>
        </w:r>
        <w:r w:rsidRPr="00A3705B">
          <w:rPr>
            <w:rFonts w:ascii="宋体" w:hAnsi="宋体"/>
            <w:b/>
            <w:bCs/>
            <w:webHidden/>
            <w:color w:val="000000"/>
            <w:sz w:val="24"/>
            <w:szCs w:val="24"/>
          </w:rPr>
          <w:instrText xml:space="preserve"> PAGEREF _Toc521663257 \h </w:instrText>
        </w:r>
        <w:r w:rsidRPr="00A3705B">
          <w:rPr>
            <w:rFonts w:ascii="宋体" w:hAnsi="宋体"/>
            <w:b/>
            <w:bCs/>
            <w:webHidden/>
            <w:color w:val="000000"/>
            <w:sz w:val="24"/>
            <w:szCs w:val="24"/>
          </w:rPr>
        </w:r>
        <w:r w:rsidRPr="00A3705B">
          <w:rPr>
            <w:rFonts w:ascii="宋体" w:hAnsi="宋体"/>
            <w:b/>
            <w:bCs/>
            <w:webHidden/>
            <w:color w:val="000000"/>
            <w:sz w:val="24"/>
            <w:szCs w:val="24"/>
          </w:rPr>
          <w:fldChar w:fldCharType="separate"/>
        </w:r>
        <w:r w:rsidRPr="00A3705B">
          <w:rPr>
            <w:rFonts w:ascii="宋体" w:hAnsi="宋体"/>
            <w:b/>
            <w:bCs/>
            <w:webHidden/>
            <w:color w:val="000000"/>
            <w:sz w:val="24"/>
            <w:szCs w:val="24"/>
          </w:rPr>
          <w:t>44</w:t>
        </w:r>
        <w:r w:rsidRPr="00A3705B">
          <w:rPr>
            <w:rFonts w:ascii="宋体" w:hAnsi="宋体"/>
            <w:b/>
            <w:bCs/>
            <w:webHidden/>
            <w:color w:val="000000"/>
            <w:sz w:val="24"/>
            <w:szCs w:val="24"/>
          </w:rPr>
          <w:fldChar w:fldCharType="end"/>
        </w:r>
      </w:hyperlink>
    </w:p>
    <w:p w:rsidR="00A3705B" w:rsidRPr="00A3705B" w:rsidRDefault="00A3705B" w:rsidP="00A3705B">
      <w:pPr>
        <w:tabs>
          <w:tab w:val="right" w:leader="dot" w:pos="9628"/>
        </w:tabs>
        <w:spacing w:before="180" w:after="180"/>
        <w:rPr>
          <w:rFonts w:ascii="宋体" w:hAnsi="宋体"/>
          <w:b/>
          <w:bCs/>
          <w:color w:val="000000"/>
          <w:sz w:val="24"/>
          <w:szCs w:val="24"/>
        </w:rPr>
      </w:pPr>
      <w:hyperlink w:anchor="_Toc521663258" w:history="1">
        <w:r w:rsidRPr="00A3705B">
          <w:rPr>
            <w:rFonts w:ascii="宋体" w:hAnsi="宋体" w:hint="eastAsia"/>
            <w:b/>
            <w:bCs/>
            <w:color w:val="000000"/>
            <w:sz w:val="24"/>
            <w:szCs w:val="24"/>
          </w:rPr>
          <w:t>第七节</w:t>
        </w:r>
        <w:r w:rsidRPr="00A3705B">
          <w:rPr>
            <w:rFonts w:ascii="宋体" w:hAnsi="宋体"/>
            <w:b/>
            <w:bCs/>
            <w:color w:val="000000"/>
            <w:sz w:val="24"/>
            <w:szCs w:val="24"/>
          </w:rPr>
          <w:t xml:space="preserve"> </w:t>
        </w:r>
        <w:r w:rsidRPr="00A3705B">
          <w:rPr>
            <w:rFonts w:ascii="宋体" w:hAnsi="宋体" w:hint="eastAsia"/>
            <w:b/>
            <w:bCs/>
            <w:color w:val="000000"/>
            <w:sz w:val="24"/>
            <w:szCs w:val="24"/>
          </w:rPr>
          <w:t>优先股相关情况</w:t>
        </w:r>
        <w:r w:rsidRPr="00A3705B">
          <w:rPr>
            <w:rFonts w:ascii="宋体" w:hAnsi="宋体"/>
            <w:b/>
            <w:bCs/>
            <w:webHidden/>
            <w:color w:val="000000"/>
            <w:sz w:val="24"/>
            <w:szCs w:val="24"/>
          </w:rPr>
          <w:tab/>
        </w:r>
        <w:r w:rsidRPr="00A3705B">
          <w:rPr>
            <w:rFonts w:ascii="宋体" w:hAnsi="宋体"/>
            <w:b/>
            <w:bCs/>
            <w:webHidden/>
            <w:color w:val="000000"/>
            <w:sz w:val="24"/>
            <w:szCs w:val="24"/>
          </w:rPr>
          <w:fldChar w:fldCharType="begin"/>
        </w:r>
        <w:r w:rsidRPr="00A3705B">
          <w:rPr>
            <w:rFonts w:ascii="宋体" w:hAnsi="宋体"/>
            <w:b/>
            <w:bCs/>
            <w:webHidden/>
            <w:color w:val="000000"/>
            <w:sz w:val="24"/>
            <w:szCs w:val="24"/>
          </w:rPr>
          <w:instrText xml:space="preserve"> PAGEREF _Toc521663258 \h </w:instrText>
        </w:r>
        <w:r w:rsidRPr="00A3705B">
          <w:rPr>
            <w:rFonts w:ascii="宋体" w:hAnsi="宋体"/>
            <w:b/>
            <w:bCs/>
            <w:webHidden/>
            <w:color w:val="000000"/>
            <w:sz w:val="24"/>
            <w:szCs w:val="24"/>
          </w:rPr>
        </w:r>
        <w:r w:rsidRPr="00A3705B">
          <w:rPr>
            <w:rFonts w:ascii="宋体" w:hAnsi="宋体"/>
            <w:b/>
            <w:bCs/>
            <w:webHidden/>
            <w:color w:val="000000"/>
            <w:sz w:val="24"/>
            <w:szCs w:val="24"/>
          </w:rPr>
          <w:fldChar w:fldCharType="separate"/>
        </w:r>
        <w:r w:rsidRPr="00A3705B">
          <w:rPr>
            <w:rFonts w:ascii="宋体" w:hAnsi="宋体"/>
            <w:b/>
            <w:bCs/>
            <w:webHidden/>
            <w:color w:val="000000"/>
            <w:sz w:val="24"/>
            <w:szCs w:val="24"/>
          </w:rPr>
          <w:t>48</w:t>
        </w:r>
        <w:r w:rsidRPr="00A3705B">
          <w:rPr>
            <w:rFonts w:ascii="宋体" w:hAnsi="宋体"/>
            <w:b/>
            <w:bCs/>
            <w:webHidden/>
            <w:color w:val="000000"/>
            <w:sz w:val="24"/>
            <w:szCs w:val="24"/>
          </w:rPr>
          <w:fldChar w:fldCharType="end"/>
        </w:r>
      </w:hyperlink>
    </w:p>
    <w:p w:rsidR="00A3705B" w:rsidRPr="00A3705B" w:rsidRDefault="00A3705B" w:rsidP="00A3705B">
      <w:pPr>
        <w:tabs>
          <w:tab w:val="right" w:leader="dot" w:pos="9628"/>
        </w:tabs>
        <w:spacing w:before="180" w:after="180"/>
        <w:rPr>
          <w:rFonts w:ascii="宋体" w:hAnsi="宋体"/>
          <w:b/>
          <w:bCs/>
          <w:color w:val="000000"/>
          <w:sz w:val="24"/>
          <w:szCs w:val="24"/>
        </w:rPr>
      </w:pPr>
      <w:hyperlink w:anchor="_Toc521663259" w:history="1">
        <w:r w:rsidRPr="00A3705B">
          <w:rPr>
            <w:rFonts w:ascii="宋体" w:hAnsi="宋体" w:hint="eastAsia"/>
            <w:b/>
            <w:bCs/>
            <w:color w:val="000000"/>
            <w:sz w:val="24"/>
            <w:szCs w:val="24"/>
          </w:rPr>
          <w:t>第八节</w:t>
        </w:r>
        <w:r w:rsidRPr="00A3705B">
          <w:rPr>
            <w:rFonts w:ascii="宋体" w:hAnsi="宋体"/>
            <w:b/>
            <w:bCs/>
            <w:color w:val="000000"/>
            <w:sz w:val="24"/>
            <w:szCs w:val="24"/>
          </w:rPr>
          <w:t xml:space="preserve"> </w:t>
        </w:r>
        <w:r w:rsidRPr="00A3705B">
          <w:rPr>
            <w:rFonts w:ascii="宋体" w:hAnsi="宋体" w:hint="eastAsia"/>
            <w:b/>
            <w:bCs/>
            <w:color w:val="000000"/>
            <w:sz w:val="24"/>
            <w:szCs w:val="24"/>
          </w:rPr>
          <w:t>董事、监事、高级管理人员情况</w:t>
        </w:r>
        <w:r w:rsidRPr="00A3705B">
          <w:rPr>
            <w:rFonts w:ascii="宋体" w:hAnsi="宋体"/>
            <w:b/>
            <w:bCs/>
            <w:webHidden/>
            <w:color w:val="000000"/>
            <w:sz w:val="24"/>
            <w:szCs w:val="24"/>
          </w:rPr>
          <w:tab/>
        </w:r>
        <w:r w:rsidRPr="00A3705B">
          <w:rPr>
            <w:rFonts w:ascii="宋体" w:hAnsi="宋体"/>
            <w:b/>
            <w:bCs/>
            <w:webHidden/>
            <w:color w:val="000000"/>
            <w:sz w:val="24"/>
            <w:szCs w:val="24"/>
          </w:rPr>
          <w:fldChar w:fldCharType="begin"/>
        </w:r>
        <w:r w:rsidRPr="00A3705B">
          <w:rPr>
            <w:rFonts w:ascii="宋体" w:hAnsi="宋体"/>
            <w:b/>
            <w:bCs/>
            <w:webHidden/>
            <w:color w:val="000000"/>
            <w:sz w:val="24"/>
            <w:szCs w:val="24"/>
          </w:rPr>
          <w:instrText xml:space="preserve"> PAGEREF _Toc521663259 \h </w:instrText>
        </w:r>
        <w:r w:rsidRPr="00A3705B">
          <w:rPr>
            <w:rFonts w:ascii="宋体" w:hAnsi="宋体"/>
            <w:b/>
            <w:bCs/>
            <w:webHidden/>
            <w:color w:val="000000"/>
            <w:sz w:val="24"/>
            <w:szCs w:val="24"/>
          </w:rPr>
        </w:r>
        <w:r w:rsidRPr="00A3705B">
          <w:rPr>
            <w:rFonts w:ascii="宋体" w:hAnsi="宋体"/>
            <w:b/>
            <w:bCs/>
            <w:webHidden/>
            <w:color w:val="000000"/>
            <w:sz w:val="24"/>
            <w:szCs w:val="24"/>
          </w:rPr>
          <w:fldChar w:fldCharType="separate"/>
        </w:r>
        <w:r w:rsidRPr="00A3705B">
          <w:rPr>
            <w:rFonts w:ascii="宋体" w:hAnsi="宋体"/>
            <w:b/>
            <w:bCs/>
            <w:webHidden/>
            <w:color w:val="000000"/>
            <w:sz w:val="24"/>
            <w:szCs w:val="24"/>
          </w:rPr>
          <w:t>49</w:t>
        </w:r>
        <w:r w:rsidRPr="00A3705B">
          <w:rPr>
            <w:rFonts w:ascii="宋体" w:hAnsi="宋体"/>
            <w:b/>
            <w:bCs/>
            <w:webHidden/>
            <w:color w:val="000000"/>
            <w:sz w:val="24"/>
            <w:szCs w:val="24"/>
          </w:rPr>
          <w:fldChar w:fldCharType="end"/>
        </w:r>
      </w:hyperlink>
    </w:p>
    <w:p w:rsidR="00A3705B" w:rsidRPr="00A3705B" w:rsidRDefault="00A3705B" w:rsidP="00A3705B">
      <w:pPr>
        <w:tabs>
          <w:tab w:val="right" w:leader="dot" w:pos="9628"/>
        </w:tabs>
        <w:spacing w:before="180" w:after="180"/>
        <w:rPr>
          <w:rFonts w:ascii="宋体" w:hAnsi="宋体"/>
          <w:b/>
          <w:bCs/>
          <w:color w:val="000000"/>
          <w:sz w:val="24"/>
          <w:szCs w:val="24"/>
        </w:rPr>
      </w:pPr>
      <w:hyperlink w:anchor="_Toc521663260" w:history="1">
        <w:r w:rsidRPr="00A3705B">
          <w:rPr>
            <w:rFonts w:ascii="宋体" w:hAnsi="宋体" w:hint="eastAsia"/>
            <w:b/>
            <w:bCs/>
            <w:color w:val="000000"/>
            <w:sz w:val="24"/>
            <w:szCs w:val="24"/>
          </w:rPr>
          <w:t>第九节</w:t>
        </w:r>
        <w:r w:rsidRPr="00A3705B">
          <w:rPr>
            <w:rFonts w:ascii="宋体" w:hAnsi="宋体"/>
            <w:b/>
            <w:bCs/>
            <w:color w:val="000000"/>
            <w:sz w:val="24"/>
            <w:szCs w:val="24"/>
          </w:rPr>
          <w:t xml:space="preserve"> </w:t>
        </w:r>
        <w:r w:rsidRPr="00A3705B">
          <w:rPr>
            <w:rFonts w:ascii="宋体" w:hAnsi="宋体" w:hint="eastAsia"/>
            <w:b/>
            <w:bCs/>
            <w:color w:val="000000"/>
            <w:sz w:val="24"/>
            <w:szCs w:val="24"/>
          </w:rPr>
          <w:t>公司债相关情况</w:t>
        </w:r>
        <w:r w:rsidRPr="00A3705B">
          <w:rPr>
            <w:rFonts w:ascii="宋体" w:hAnsi="宋体"/>
            <w:b/>
            <w:bCs/>
            <w:webHidden/>
            <w:color w:val="000000"/>
            <w:sz w:val="24"/>
            <w:szCs w:val="24"/>
          </w:rPr>
          <w:tab/>
        </w:r>
        <w:r w:rsidRPr="00A3705B">
          <w:rPr>
            <w:rFonts w:ascii="宋体" w:hAnsi="宋体"/>
            <w:b/>
            <w:bCs/>
            <w:webHidden/>
            <w:color w:val="000000"/>
            <w:sz w:val="24"/>
            <w:szCs w:val="24"/>
          </w:rPr>
          <w:fldChar w:fldCharType="begin"/>
        </w:r>
        <w:r w:rsidRPr="00A3705B">
          <w:rPr>
            <w:rFonts w:ascii="宋体" w:hAnsi="宋体"/>
            <w:b/>
            <w:bCs/>
            <w:webHidden/>
            <w:color w:val="000000"/>
            <w:sz w:val="24"/>
            <w:szCs w:val="24"/>
          </w:rPr>
          <w:instrText xml:space="preserve"> PAGEREF _Toc521663260 \h </w:instrText>
        </w:r>
        <w:r w:rsidRPr="00A3705B">
          <w:rPr>
            <w:rFonts w:ascii="宋体" w:hAnsi="宋体"/>
            <w:b/>
            <w:bCs/>
            <w:webHidden/>
            <w:color w:val="000000"/>
            <w:sz w:val="24"/>
            <w:szCs w:val="24"/>
          </w:rPr>
        </w:r>
        <w:r w:rsidRPr="00A3705B">
          <w:rPr>
            <w:rFonts w:ascii="宋体" w:hAnsi="宋体"/>
            <w:b/>
            <w:bCs/>
            <w:webHidden/>
            <w:color w:val="000000"/>
            <w:sz w:val="24"/>
            <w:szCs w:val="24"/>
          </w:rPr>
          <w:fldChar w:fldCharType="separate"/>
        </w:r>
        <w:r w:rsidRPr="00A3705B">
          <w:rPr>
            <w:rFonts w:ascii="宋体" w:hAnsi="宋体"/>
            <w:b/>
            <w:bCs/>
            <w:webHidden/>
            <w:color w:val="000000"/>
            <w:sz w:val="24"/>
            <w:szCs w:val="24"/>
          </w:rPr>
          <w:t>50</w:t>
        </w:r>
        <w:r w:rsidRPr="00A3705B">
          <w:rPr>
            <w:rFonts w:ascii="宋体" w:hAnsi="宋体"/>
            <w:b/>
            <w:bCs/>
            <w:webHidden/>
            <w:color w:val="000000"/>
            <w:sz w:val="24"/>
            <w:szCs w:val="24"/>
          </w:rPr>
          <w:fldChar w:fldCharType="end"/>
        </w:r>
      </w:hyperlink>
    </w:p>
    <w:p w:rsidR="00A3705B" w:rsidRPr="00A3705B" w:rsidRDefault="00A3705B" w:rsidP="00A3705B">
      <w:pPr>
        <w:tabs>
          <w:tab w:val="right" w:leader="dot" w:pos="9628"/>
        </w:tabs>
        <w:spacing w:before="180" w:after="180"/>
        <w:rPr>
          <w:rFonts w:ascii="宋体" w:hAnsi="宋体"/>
          <w:b/>
          <w:bCs/>
          <w:color w:val="000000"/>
          <w:sz w:val="24"/>
          <w:szCs w:val="24"/>
        </w:rPr>
      </w:pPr>
      <w:hyperlink w:anchor="_Toc521663261" w:history="1">
        <w:r w:rsidRPr="00A3705B">
          <w:rPr>
            <w:rFonts w:ascii="宋体" w:hAnsi="宋体" w:hint="eastAsia"/>
            <w:b/>
            <w:bCs/>
            <w:color w:val="000000"/>
            <w:sz w:val="24"/>
            <w:szCs w:val="24"/>
          </w:rPr>
          <w:t>第十节</w:t>
        </w:r>
        <w:r w:rsidRPr="00A3705B">
          <w:rPr>
            <w:rFonts w:ascii="宋体" w:hAnsi="宋体"/>
            <w:b/>
            <w:bCs/>
            <w:color w:val="000000"/>
            <w:sz w:val="24"/>
            <w:szCs w:val="24"/>
          </w:rPr>
          <w:t xml:space="preserve"> </w:t>
        </w:r>
        <w:r w:rsidRPr="00A3705B">
          <w:rPr>
            <w:rFonts w:ascii="宋体" w:hAnsi="宋体" w:hint="eastAsia"/>
            <w:b/>
            <w:bCs/>
            <w:color w:val="000000"/>
            <w:sz w:val="24"/>
            <w:szCs w:val="24"/>
          </w:rPr>
          <w:t>财务报告</w:t>
        </w:r>
        <w:bookmarkStart w:id="1" w:name="_GoBack"/>
        <w:bookmarkEnd w:id="1"/>
        <w:r w:rsidRPr="00A3705B">
          <w:rPr>
            <w:rFonts w:ascii="宋体" w:hAnsi="宋体"/>
            <w:b/>
            <w:bCs/>
            <w:webHidden/>
            <w:color w:val="000000"/>
            <w:sz w:val="24"/>
            <w:szCs w:val="24"/>
          </w:rPr>
          <w:tab/>
        </w:r>
        <w:r w:rsidRPr="00A3705B">
          <w:rPr>
            <w:rFonts w:ascii="宋体" w:hAnsi="宋体"/>
            <w:b/>
            <w:bCs/>
            <w:webHidden/>
            <w:color w:val="000000"/>
            <w:sz w:val="24"/>
            <w:szCs w:val="24"/>
          </w:rPr>
          <w:fldChar w:fldCharType="begin"/>
        </w:r>
        <w:r w:rsidRPr="00A3705B">
          <w:rPr>
            <w:rFonts w:ascii="宋体" w:hAnsi="宋体"/>
            <w:b/>
            <w:bCs/>
            <w:webHidden/>
            <w:color w:val="000000"/>
            <w:sz w:val="24"/>
            <w:szCs w:val="24"/>
          </w:rPr>
          <w:instrText xml:space="preserve"> PAGEREF _Toc521663261 \h </w:instrText>
        </w:r>
        <w:r w:rsidRPr="00A3705B">
          <w:rPr>
            <w:rFonts w:ascii="宋体" w:hAnsi="宋体"/>
            <w:b/>
            <w:bCs/>
            <w:webHidden/>
            <w:color w:val="000000"/>
            <w:sz w:val="24"/>
            <w:szCs w:val="24"/>
          </w:rPr>
        </w:r>
        <w:r w:rsidRPr="00A3705B">
          <w:rPr>
            <w:rFonts w:ascii="宋体" w:hAnsi="宋体"/>
            <w:b/>
            <w:bCs/>
            <w:webHidden/>
            <w:color w:val="000000"/>
            <w:sz w:val="24"/>
            <w:szCs w:val="24"/>
          </w:rPr>
          <w:fldChar w:fldCharType="separate"/>
        </w:r>
        <w:r w:rsidRPr="00A3705B">
          <w:rPr>
            <w:rFonts w:ascii="宋体" w:hAnsi="宋体"/>
            <w:b/>
            <w:bCs/>
            <w:webHidden/>
            <w:color w:val="000000"/>
            <w:sz w:val="24"/>
            <w:szCs w:val="24"/>
          </w:rPr>
          <w:t>51</w:t>
        </w:r>
        <w:r w:rsidRPr="00A3705B">
          <w:rPr>
            <w:rFonts w:ascii="宋体" w:hAnsi="宋体"/>
            <w:b/>
            <w:bCs/>
            <w:webHidden/>
            <w:color w:val="000000"/>
            <w:sz w:val="24"/>
            <w:szCs w:val="24"/>
          </w:rPr>
          <w:fldChar w:fldCharType="end"/>
        </w:r>
      </w:hyperlink>
    </w:p>
    <w:p w:rsidR="00A3705B" w:rsidRPr="00A3705B" w:rsidRDefault="00A3705B" w:rsidP="00A3705B">
      <w:pPr>
        <w:tabs>
          <w:tab w:val="right" w:leader="dot" w:pos="9628"/>
        </w:tabs>
        <w:spacing w:before="180" w:after="180"/>
        <w:rPr>
          <w:rFonts w:ascii="宋体" w:hAnsi="宋体"/>
          <w:b/>
          <w:bCs/>
          <w:color w:val="000000"/>
          <w:sz w:val="24"/>
          <w:szCs w:val="24"/>
        </w:rPr>
      </w:pPr>
      <w:hyperlink w:anchor="_Toc521663262" w:history="1">
        <w:r w:rsidRPr="00A3705B">
          <w:rPr>
            <w:rFonts w:ascii="宋体" w:hAnsi="宋体" w:hint="eastAsia"/>
            <w:b/>
            <w:bCs/>
            <w:color w:val="000000"/>
            <w:sz w:val="24"/>
            <w:szCs w:val="24"/>
          </w:rPr>
          <w:t>第十一节</w:t>
        </w:r>
        <w:r w:rsidRPr="00A3705B">
          <w:rPr>
            <w:rFonts w:ascii="宋体" w:hAnsi="宋体"/>
            <w:b/>
            <w:bCs/>
            <w:color w:val="000000"/>
            <w:sz w:val="24"/>
            <w:szCs w:val="24"/>
          </w:rPr>
          <w:t xml:space="preserve"> </w:t>
        </w:r>
        <w:r w:rsidRPr="00A3705B">
          <w:rPr>
            <w:rFonts w:ascii="宋体" w:hAnsi="宋体" w:hint="eastAsia"/>
            <w:b/>
            <w:bCs/>
            <w:color w:val="000000"/>
            <w:sz w:val="24"/>
            <w:szCs w:val="24"/>
          </w:rPr>
          <w:t>备查文件目录</w:t>
        </w:r>
        <w:r w:rsidRPr="00A3705B">
          <w:rPr>
            <w:rFonts w:ascii="宋体" w:hAnsi="宋体"/>
            <w:b/>
            <w:bCs/>
            <w:webHidden/>
            <w:color w:val="000000"/>
            <w:sz w:val="24"/>
            <w:szCs w:val="24"/>
          </w:rPr>
          <w:tab/>
        </w:r>
        <w:r w:rsidRPr="00A3705B">
          <w:rPr>
            <w:rFonts w:ascii="宋体" w:hAnsi="宋体"/>
            <w:b/>
            <w:bCs/>
            <w:webHidden/>
            <w:color w:val="000000"/>
            <w:sz w:val="24"/>
            <w:szCs w:val="24"/>
          </w:rPr>
          <w:fldChar w:fldCharType="begin"/>
        </w:r>
        <w:r w:rsidRPr="00A3705B">
          <w:rPr>
            <w:rFonts w:ascii="宋体" w:hAnsi="宋体"/>
            <w:b/>
            <w:bCs/>
            <w:webHidden/>
            <w:color w:val="000000"/>
            <w:sz w:val="24"/>
            <w:szCs w:val="24"/>
          </w:rPr>
          <w:instrText xml:space="preserve"> PAGEREF _Toc521663262 \h </w:instrText>
        </w:r>
        <w:r w:rsidRPr="00A3705B">
          <w:rPr>
            <w:rFonts w:ascii="宋体" w:hAnsi="宋体"/>
            <w:b/>
            <w:bCs/>
            <w:webHidden/>
            <w:color w:val="000000"/>
            <w:sz w:val="24"/>
            <w:szCs w:val="24"/>
          </w:rPr>
        </w:r>
        <w:r w:rsidRPr="00A3705B">
          <w:rPr>
            <w:rFonts w:ascii="宋体" w:hAnsi="宋体"/>
            <w:b/>
            <w:bCs/>
            <w:webHidden/>
            <w:color w:val="000000"/>
            <w:sz w:val="24"/>
            <w:szCs w:val="24"/>
          </w:rPr>
          <w:fldChar w:fldCharType="separate"/>
        </w:r>
        <w:r w:rsidRPr="00A3705B">
          <w:rPr>
            <w:rFonts w:ascii="宋体" w:hAnsi="宋体"/>
            <w:b/>
            <w:bCs/>
            <w:webHidden/>
            <w:color w:val="000000"/>
            <w:sz w:val="24"/>
            <w:szCs w:val="24"/>
          </w:rPr>
          <w:t>143</w:t>
        </w:r>
        <w:r w:rsidRPr="00A3705B">
          <w:rPr>
            <w:rFonts w:ascii="宋体" w:hAnsi="宋体"/>
            <w:b/>
            <w:bCs/>
            <w:webHidden/>
            <w:color w:val="000000"/>
            <w:sz w:val="24"/>
            <w:szCs w:val="24"/>
          </w:rPr>
          <w:fldChar w:fldCharType="end"/>
        </w:r>
      </w:hyperlink>
    </w:p>
    <w:p w:rsidR="00A9288A" w:rsidRDefault="007A4434">
      <w:pPr>
        <w:tabs>
          <w:tab w:val="right" w:leader="dot" w:pos="9628"/>
        </w:tabs>
        <w:spacing w:before="180" w:after="180"/>
        <w:rPr>
          <w:rFonts w:eastAsia="Times New Roman" w:cs="Times New Roman"/>
        </w:rPr>
        <w:sectPr w:rsidR="00A9288A">
          <w:pgSz w:w="11906" w:h="16838"/>
          <w:pgMar w:top="1440" w:right="1134" w:bottom="1440" w:left="1134" w:header="851" w:footer="992" w:gutter="0"/>
          <w:cols w:space="720"/>
          <w:docGrid w:type="lines" w:linePitch="312"/>
        </w:sectPr>
      </w:pPr>
      <w:r w:rsidRPr="00A3705B">
        <w:rPr>
          <w:rFonts w:ascii="宋体" w:hAnsi="宋体"/>
          <w:b/>
          <w:bCs/>
          <w:color w:val="000000"/>
          <w:sz w:val="24"/>
          <w:szCs w:val="24"/>
        </w:rPr>
        <w:fldChar w:fldCharType="end"/>
      </w:r>
    </w:p>
    <w:p w:rsidR="00A9288A" w:rsidRDefault="007A4434">
      <w:pPr>
        <w:spacing w:before="700" w:after="700"/>
        <w:jc w:val="center"/>
        <w:rPr>
          <w:rFonts w:eastAsia="Times New Roman" w:cs="Times New Roman"/>
          <w:b/>
          <w:bCs/>
          <w:sz w:val="32"/>
          <w:szCs w:val="32"/>
        </w:rPr>
      </w:pPr>
      <w:r>
        <w:rPr>
          <w:rFonts w:hint="eastAsia"/>
          <w:b/>
          <w:bCs/>
          <w:sz w:val="32"/>
          <w:szCs w:val="32"/>
        </w:rPr>
        <w:lastRenderedPageBreak/>
        <w:t>释义</w:t>
      </w:r>
    </w:p>
    <w:tbl>
      <w:tblPr>
        <w:tblW w:w="0" w:type="auto"/>
        <w:tblInd w:w="28" w:type="dxa"/>
        <w:tblLayout w:type="fixed"/>
        <w:tblCellMar>
          <w:left w:w="28" w:type="dxa"/>
          <w:right w:w="28" w:type="dxa"/>
        </w:tblCellMar>
        <w:tblLook w:val="0000" w:firstRow="0" w:lastRow="0" w:firstColumn="0" w:lastColumn="0" w:noHBand="0" w:noVBand="0"/>
      </w:tblPr>
      <w:tblGrid>
        <w:gridCol w:w="2127"/>
        <w:gridCol w:w="850"/>
        <w:gridCol w:w="6592"/>
      </w:tblGrid>
      <w:tr w:rsidR="00A9288A">
        <w:tc>
          <w:tcPr>
            <w:tcW w:w="21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释义项</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释义内容</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公司、本公司、发行人或海兰信</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北京海兰信数据科技股份有限公司</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中国证监会</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中国证券监督管理委员会</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深交所</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深圳证券交易所</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中国结算深圳分公司</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中国证券登记结算有限责任公司深圳分公司</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A</w:t>
            </w:r>
            <w:r>
              <w:rPr>
                <w:rFonts w:hint="eastAsia"/>
              </w:rPr>
              <w:t>股</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人民币普通股</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保荐机构</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海通证券股份有限公司</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元</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人民币元</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公司章程</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北京海兰信数据科技股份有限公司章程</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公司法</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中华人民共和国公司法</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证券法</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中华人民共和国证券法</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报告期</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2018</w:t>
            </w:r>
            <w:r>
              <w:rPr>
                <w:rFonts w:hint="eastAsia"/>
              </w:rPr>
              <w:t>年半年度</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上海劳雷</w:t>
            </w:r>
            <w:r>
              <w:rPr>
                <w:rFonts w:cs="Times New Roman"/>
              </w:rPr>
              <w:t>/</w:t>
            </w:r>
            <w:r>
              <w:rPr>
                <w:rFonts w:hint="eastAsia"/>
              </w:rPr>
              <w:t>海兰劳雷</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上海海兰劳雷海洋科技有限公司，公司控股子公司</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劳雷香港</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劳雷海洋系统有限公司（原</w:t>
            </w:r>
            <w:r>
              <w:rPr>
                <w:rFonts w:cs="Times New Roman"/>
              </w:rPr>
              <w:t>“</w:t>
            </w:r>
            <w:r>
              <w:rPr>
                <w:rFonts w:hint="eastAsia"/>
              </w:rPr>
              <w:t>劳雷工业有限公司</w:t>
            </w:r>
            <w:r>
              <w:rPr>
                <w:rFonts w:cs="Times New Roman"/>
              </w:rPr>
              <w:t>”</w:t>
            </w:r>
            <w:r>
              <w:rPr>
                <w:rFonts w:hint="eastAsia"/>
              </w:rPr>
              <w:t>），海兰劳雷全资子公司</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summerview</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summerview company limited</w:t>
            </w:r>
            <w:r>
              <w:rPr>
                <w:rFonts w:hint="eastAsia"/>
              </w:rPr>
              <w:t>，海兰劳雷全资子公司</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北京劳雷</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北京劳雷海洋仪器有限公司，海兰劳雷全资子公司</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劳雷产业</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劳雷香港、</w:t>
            </w:r>
            <w:r>
              <w:rPr>
                <w:rFonts w:cs="Times New Roman"/>
              </w:rPr>
              <w:t>Summerview</w:t>
            </w:r>
            <w:r>
              <w:rPr>
                <w:rFonts w:hint="eastAsia"/>
              </w:rPr>
              <w:t>、劳雷北京的总称</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广东蓝图</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广东蓝图信息技术有限公司，公司控股子公司</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上海言盛</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上海言盛投资合伙企业（有限合伙）</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智海创信</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珠海市智海创信海洋科技服务合伙企业（有限合伙）</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三沙海兰信</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三沙海兰信海洋信息科技有限公司，公司全资子公司</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江苏海兰</w:t>
            </w:r>
            <w:r>
              <w:rPr>
                <w:rFonts w:cs="Times New Roman"/>
              </w:rPr>
              <w:t>/</w:t>
            </w:r>
            <w:r>
              <w:rPr>
                <w:rFonts w:hint="eastAsia"/>
              </w:rPr>
              <w:t>江苏海兰电气</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江苏海兰船舶电气系统科技有限公司，公司全资子公司</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江苏海兰信</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江苏海兰信数据科技有限公司</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香港海兰电气</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香港海兰船舶电气系统科技有限公司，江苏海兰全资子公司</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海兰天澄</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成都海兰天澄科技股份有限公司，公司控股子公司</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Rockson</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Rockson Automation GmbH</w:t>
            </w:r>
            <w:r>
              <w:rPr>
                <w:rFonts w:hint="eastAsia"/>
              </w:rPr>
              <w:t>，香港海兰电气控股子公司</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江苏船舶</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江苏海兰信船舶设备有限公司，公司全资子公司</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海兰船舶</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北京海兰信船舶设备有限公司，公司全资子公司</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香港海兰信</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海兰信（香港）航海科技有限公司，公司全资子公司</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lastRenderedPageBreak/>
              <w:t>海兰弘义</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北京海兰弘义科技有限公司，公司全资子公司</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海兰盈华</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北京海兰盈华科技有限公司，公司控股子公司</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劳雷绿湾</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武汉劳雷绿湾船舶科技有限公司，公司参股公司</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边界电子</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杭州边界电子技术有限公司，公司参股公司</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中船投资</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中船投资发展有限公司</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南通长青沙</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南通长青沙船舶工程有限公司</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扬子江船业</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江苏扬子江船业集团公司</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国开发展基金</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国开发展基金有限公司</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e</w:t>
            </w:r>
            <w:r>
              <w:rPr>
                <w:rFonts w:hint="eastAsia"/>
              </w:rPr>
              <w:t>航海</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e</w:t>
            </w:r>
            <w:r>
              <w:rPr>
                <w:rFonts w:hint="eastAsia"/>
              </w:rPr>
              <w:t>航海（</w:t>
            </w:r>
            <w:r>
              <w:rPr>
                <w:rFonts w:cs="Times New Roman"/>
              </w:rPr>
              <w:t>e-Navigation</w:t>
            </w:r>
            <w:r>
              <w:rPr>
                <w:rFonts w:hint="eastAsia"/>
              </w:rPr>
              <w:t>），是指通过电子的方式，在船上和岸上，收集、综合、交换、显示和分析海事信息，以增强船舶泊位到泊位的全程航行能力，增强相应的海上服务、安全和保安能力，以及海洋环境保护的能力。</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IMO</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国际海事组织（</w:t>
            </w:r>
            <w:r>
              <w:rPr>
                <w:rFonts w:cs="Times New Roman"/>
              </w:rPr>
              <w:t>International Maritime Organization</w:t>
            </w:r>
            <w:r>
              <w:rPr>
                <w:rFonts w:hint="eastAsia"/>
              </w:rPr>
              <w:t>），是联合国负责海上航行安全和防止船舶造成海洋污染的专门机构，该组织宗旨为促进各国间的航运技术合作，鼓励各国在促进海上安全，提高船舶航行效率，防止和控制船舶对海洋污染方面采取统一的标准，并处理有关的法律问题。</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CCS</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中国船级社（</w:t>
            </w:r>
            <w:r>
              <w:rPr>
                <w:rFonts w:cs="Times New Roman"/>
              </w:rPr>
              <w:t>China Classification Society</w:t>
            </w:r>
            <w:r>
              <w:rPr>
                <w:rFonts w:hint="eastAsia"/>
              </w:rPr>
              <w:t>），是中国唯一从事船舶入级检验业务的专业机构。</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DNV-GL</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DNVGL</w:t>
            </w:r>
            <w:r>
              <w:rPr>
                <w:rFonts w:hint="eastAsia"/>
              </w:rPr>
              <w:t>集团</w:t>
            </w:r>
            <w:r>
              <w:rPr>
                <w:rFonts w:cs="Times New Roman"/>
              </w:rPr>
              <w:t>(DNV GL Group)</w:t>
            </w:r>
            <w:r>
              <w:rPr>
                <w:rFonts w:hint="eastAsia"/>
              </w:rPr>
              <w:t>，由全球两大知名船级社</w:t>
            </w:r>
            <w:r>
              <w:rPr>
                <w:rFonts w:cs="Times New Roman"/>
              </w:rPr>
              <w:t>DNV(</w:t>
            </w:r>
            <w:r>
              <w:rPr>
                <w:rFonts w:hint="eastAsia"/>
              </w:rPr>
              <w:t>挪威船级社</w:t>
            </w:r>
            <w:r>
              <w:rPr>
                <w:rFonts w:cs="Times New Roman"/>
              </w:rPr>
              <w:t>)</w:t>
            </w:r>
            <w:r>
              <w:rPr>
                <w:rFonts w:hint="eastAsia"/>
              </w:rPr>
              <w:t>与</w:t>
            </w:r>
            <w:r>
              <w:rPr>
                <w:rFonts w:cs="Times New Roman"/>
              </w:rPr>
              <w:t>GL(</w:t>
            </w:r>
            <w:r>
              <w:rPr>
                <w:rFonts w:hint="eastAsia"/>
              </w:rPr>
              <w:t>德国劳氏船级社</w:t>
            </w:r>
            <w:r>
              <w:rPr>
                <w:rFonts w:cs="Times New Roman"/>
              </w:rPr>
              <w:t>)</w:t>
            </w:r>
            <w:r>
              <w:rPr>
                <w:rFonts w:hint="eastAsia"/>
              </w:rPr>
              <w:t>合并而成，位居全球三大管理系统认证机构之列。</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VDR</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船载航行数据记录仪（</w:t>
            </w:r>
            <w:r>
              <w:rPr>
                <w:rFonts w:cs="Times New Roman"/>
              </w:rPr>
              <w:t>Voyage Data Recorder</w:t>
            </w:r>
            <w:r>
              <w:rPr>
                <w:rFonts w:hint="eastAsia"/>
              </w:rPr>
              <w:t>），本公司的主导产品之一，其主要功能是以安全和可恢复的方式实时记录并保存船舶航行过程中关于船位变化的物理状态、对船舶的命令和控制等数据信息，用于保障航行安全和分析航行事故原因，也称</w:t>
            </w:r>
            <w:r>
              <w:rPr>
                <w:rFonts w:cs="Times New Roman"/>
              </w:rPr>
              <w:t>"</w:t>
            </w:r>
            <w:r>
              <w:rPr>
                <w:rFonts w:hint="eastAsia"/>
              </w:rPr>
              <w:t>船用黑匣子</w:t>
            </w:r>
            <w:r>
              <w:rPr>
                <w:rFonts w:cs="Times New Roman"/>
              </w:rPr>
              <w:t>"</w:t>
            </w:r>
            <w:r>
              <w:rPr>
                <w:rFonts w:hint="eastAsia"/>
              </w:rPr>
              <w:t>。</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INS</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综合导航系统（</w:t>
            </w:r>
            <w:r>
              <w:rPr>
                <w:rFonts w:cs="Times New Roman"/>
              </w:rPr>
              <w:t>Integrated Navigation System</w:t>
            </w:r>
            <w:r>
              <w:rPr>
                <w:rFonts w:hint="eastAsia"/>
              </w:rPr>
              <w:t>），该系统基于国际海事组织（</w:t>
            </w:r>
            <w:r>
              <w:rPr>
                <w:rFonts w:cs="Times New Roman"/>
              </w:rPr>
              <w:t>IMO</w:t>
            </w:r>
            <w:r>
              <w:rPr>
                <w:rFonts w:hint="eastAsia"/>
              </w:rPr>
              <w:t>）综合导航系统（</w:t>
            </w:r>
            <w:r>
              <w:rPr>
                <w:rFonts w:cs="Times New Roman"/>
              </w:rPr>
              <w:t>INS</w:t>
            </w:r>
            <w:r>
              <w:rPr>
                <w:rFonts w:hint="eastAsia"/>
              </w:rPr>
              <w:t>）最新性能标准，可覆盖船舶在航行中的航线规划、航线监控、安全防撞、导航控制数据、状态显示、警报管理、航迹控制等功能。</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IBS</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综合船桥系统（</w:t>
            </w:r>
            <w:r>
              <w:rPr>
                <w:rFonts w:cs="Times New Roman"/>
              </w:rPr>
              <w:t>Integrated Bridge System</w:t>
            </w:r>
            <w:r>
              <w:rPr>
                <w:rFonts w:hint="eastAsia"/>
              </w:rPr>
              <w:t>），又称综合航行系统、自动化航行系统。该系统采用系统设计的方法，将船上的各种导航、操作控制和雷达避碰等设备有机地组合和功能综合，利用计算机、现代控制、信息处理等技术实现船舶航行的自动化。</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RADAR</w:t>
            </w:r>
            <w:r>
              <w:rPr>
                <w:rFonts w:hint="eastAsia"/>
              </w:rPr>
              <w:t>、导航雷达</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导航雷达是用于航行避让、船舶定位和引航的设备。雷达是测定本船位置和预防冲撞事故所不可缺少的系统，能够准确捕获其它船只、陆地、航线标志等物标信息，并显示在显示屏上，引导船只出入海湾和通过窄水道航行等。</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机舱自动化</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船舶综合机舱监控报警系统，简称</w:t>
            </w:r>
            <w:r>
              <w:rPr>
                <w:rFonts w:cs="Times New Roman"/>
              </w:rPr>
              <w:t>“</w:t>
            </w:r>
            <w:r>
              <w:rPr>
                <w:rFonts w:hint="eastAsia"/>
              </w:rPr>
              <w:t>机舱自动化</w:t>
            </w:r>
            <w:r>
              <w:rPr>
                <w:rFonts w:cs="Times New Roman"/>
              </w:rPr>
              <w:t>”</w:t>
            </w:r>
            <w:r>
              <w:rPr>
                <w:rFonts w:hint="eastAsia"/>
              </w:rPr>
              <w:t>，该系统能实现对轮机设备不间断地数据采集、监测和对各类泵组、阀门和风机等辅助设备的控制。此外，还可实现液货管理和电站管理，具备成熟的远程通信功能，通过远程网关能使岸上办公室更加方便地对船舶设备信息进行远程访问和远程诊断，为船员提供远程技术支持。</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VMS</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船舶远程监控管理系统（</w:t>
            </w:r>
            <w:r>
              <w:rPr>
                <w:rFonts w:cs="Times New Roman"/>
              </w:rPr>
              <w:t>Vessel Manage System</w:t>
            </w:r>
            <w:r>
              <w:rPr>
                <w:rFonts w:hint="eastAsia"/>
              </w:rPr>
              <w:t>），本公司的主导产品之一，其主要功能是实现远洋船舶现场的航行信息、机舱信息、货物信息、海况信息、视频信息和船舶工作文件向岸端实时传输，实现船岸之间信息相互传递。</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lastRenderedPageBreak/>
              <w:t>SCS</w:t>
            </w:r>
            <w:r>
              <w:rPr>
                <w:rFonts w:hint="eastAsia"/>
              </w:rPr>
              <w:t>、自动舵</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船舶操舵仪（</w:t>
            </w:r>
            <w:r>
              <w:rPr>
                <w:rFonts w:cs="Times New Roman"/>
              </w:rPr>
              <w:t>Steering Control System</w:t>
            </w:r>
            <w:r>
              <w:rPr>
                <w:rFonts w:hint="eastAsia"/>
              </w:rPr>
              <w:t>），也称船舶操舵控制系统或自动操舵仪，本公司募集资金投资生产的产品之一。其主要功能是控制船的航行方向，通过手动或自动控制打舵改变航向。其工作原理主要是根据实际航行方向与目标航向的差值所产生的偏航信号控制舵机转动，使船舶按目标航向行驶。</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ECDIS</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电子海图显示与信息系统（</w:t>
            </w:r>
            <w:r>
              <w:rPr>
                <w:rFonts w:cs="Times New Roman"/>
              </w:rPr>
              <w:t>Electronic Chart Display and Information System</w:t>
            </w:r>
            <w:r>
              <w:rPr>
                <w:rFonts w:hint="eastAsia"/>
              </w:rPr>
              <w:t>，简称电子海图或</w:t>
            </w:r>
            <w:r>
              <w:rPr>
                <w:rFonts w:cs="Times New Roman"/>
              </w:rPr>
              <w:t>ECDIS</w:t>
            </w:r>
            <w:r>
              <w:rPr>
                <w:rFonts w:hint="eastAsia"/>
              </w:rPr>
              <w:t>），是一种以数字形式表示、能动态地描绘海域地理信息和航海信息并能够进行自动化导航的综合系统。</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BNWAS</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船桥航行值班报警系统（</w:t>
            </w:r>
            <w:r>
              <w:rPr>
                <w:rFonts w:cs="Times New Roman"/>
              </w:rPr>
              <w:t>Bridge Navigational Watch Alarm Systems</w:t>
            </w:r>
            <w:r>
              <w:rPr>
                <w:rFonts w:hint="eastAsia"/>
              </w:rPr>
              <w:t>，简称</w:t>
            </w:r>
            <w:r>
              <w:rPr>
                <w:rFonts w:cs="Times New Roman"/>
              </w:rPr>
              <w:t>BNWAS</w:t>
            </w:r>
            <w:r>
              <w:rPr>
                <w:rFonts w:hint="eastAsia"/>
              </w:rPr>
              <w:t>），是一种用于监视值班驾驶员（</w:t>
            </w:r>
            <w:r>
              <w:rPr>
                <w:rFonts w:cs="Times New Roman"/>
              </w:rPr>
              <w:t>ODW</w:t>
            </w:r>
            <w:r>
              <w:rPr>
                <w:rFonts w:hint="eastAsia"/>
              </w:rPr>
              <w:t>）意识的设备，若因为任何原因而使值班驾驶员失去履行其职责的能力时，该系统将自动向船长或其他有能力的值班驾驶员报警。</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VEIS</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船舶电子集成系统（</w:t>
            </w:r>
            <w:r>
              <w:rPr>
                <w:rFonts w:cs="Times New Roman"/>
              </w:rPr>
              <w:t>Vessel Electronic Integrated System</w:t>
            </w:r>
            <w:r>
              <w:rPr>
                <w:rFonts w:hint="eastAsia"/>
              </w:rPr>
              <w:t>），是指供应商根据船厂的要求，向船厂提供完整功能的船舶电子产品整体解决方案，功能模块包括导航子系统、通信子系统、船岸信息管理子系统，服务范围包括系统总体设计、工程设计、系统开发、产品组织与提供、物流、安装调试、试航试验、船级社验收、船东验收和售后服务等相关工作。</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STTD</w:t>
            </w:r>
            <w:r>
              <w:rPr>
                <w:rFonts w:hint="eastAsia"/>
              </w:rPr>
              <w:t>、小目标探测雷达</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小目标探测雷达（</w:t>
            </w:r>
            <w:r>
              <w:rPr>
                <w:rFonts w:cs="Times New Roman"/>
              </w:rPr>
              <w:t>Small Target Tracking and Detector</w:t>
            </w:r>
            <w:r>
              <w:rPr>
                <w:rFonts w:hint="eastAsia"/>
              </w:rPr>
              <w:t>），该系统基于海杂波处理独特算法的极小目标探测雷达技术，可有效提高对雷达回波信号的处理能力，采用先进的先跟踪后探测（</w:t>
            </w:r>
            <w:r>
              <w:rPr>
                <w:rFonts w:cs="Times New Roman"/>
              </w:rPr>
              <w:t>TBD</w:t>
            </w:r>
            <w:r>
              <w:rPr>
                <w:rFonts w:hint="eastAsia"/>
              </w:rPr>
              <w:t>）算法，能够实现全自动跟踪、探测、识别海上的目标，尤其对雷达反射截面积（</w:t>
            </w:r>
            <w:r>
              <w:rPr>
                <w:rFonts w:cs="Times New Roman"/>
              </w:rPr>
              <w:t>RCS</w:t>
            </w:r>
            <w:r>
              <w:rPr>
                <w:rFonts w:hint="eastAsia"/>
              </w:rPr>
              <w:t>）大于</w:t>
            </w:r>
            <w:r>
              <w:rPr>
                <w:rFonts w:cs="Times New Roman"/>
              </w:rPr>
              <w:t>0.1</w:t>
            </w:r>
            <w:r>
              <w:rPr>
                <w:rFonts w:hint="eastAsia"/>
              </w:rPr>
              <w:t>平方米的海上极小目标具有良好的探测、跟踪和识别功能。</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AOSD</w:t>
            </w:r>
            <w:r>
              <w:rPr>
                <w:rFonts w:hint="eastAsia"/>
              </w:rPr>
              <w:t>、溢油探测雷达</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溢油探测雷达（</w:t>
            </w:r>
            <w:r>
              <w:rPr>
                <w:rFonts w:cs="Times New Roman"/>
              </w:rPr>
              <w:t>Automatic Oil Spill Detector</w:t>
            </w:r>
            <w:r>
              <w:rPr>
                <w:rFonts w:hint="eastAsia"/>
              </w:rPr>
              <w:t>），该系统通过附着油污的水面杂波运动比不附着油污的水面杂波运动缓慢原理对海上溢油（污染物）进行探测、并实时跟踪溢油带的漂移与扩散态势，及时准确获取溢油带的位置、大小、厚度等信息，从而有效提升海洋污染治理效率。</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AIDR</w:t>
            </w:r>
            <w:r>
              <w:rPr>
                <w:rFonts w:hint="eastAsia"/>
              </w:rPr>
              <w:t>、测冰雷达</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测冰雷达（</w:t>
            </w:r>
            <w:r>
              <w:rPr>
                <w:rFonts w:cs="Times New Roman"/>
              </w:rPr>
              <w:t>Autommatic Ice Detection Radar System</w:t>
            </w:r>
            <w:r>
              <w:rPr>
                <w:rFonts w:hint="eastAsia"/>
              </w:rPr>
              <w:t>），该系统利用小目标探测能力为船舶穿过冰雪覆盖的水面提供关键的导航信息，为避免船舶碰撞、探索最佳航线、降低燃料消耗和缩短航行时间提供保障。</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AWHC</w:t>
            </w:r>
            <w:r>
              <w:rPr>
                <w:rFonts w:hint="eastAsia"/>
              </w:rPr>
              <w:t>、海浪探测雷达</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海浪探测雷达（</w:t>
            </w:r>
            <w:r>
              <w:rPr>
                <w:rFonts w:cs="Times New Roman"/>
              </w:rPr>
              <w:t>Automatic Wave Height Calculator</w:t>
            </w:r>
            <w:r>
              <w:rPr>
                <w:rFonts w:hint="eastAsia"/>
              </w:rPr>
              <w:t>），该系统能够实时获取频谱域上的海洋动态信息，包括波浪高度、波浪长度、波浪周期等动态信息，生成实时二维（或三维）海况图，为海洋动态信息研究和船舶航行安全与效率提供数据支撑。</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智能雷达监控系统</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智能雷达监控系统是以雷达、光电观察设备为主要传感器，采用先跟踪后探测（</w:t>
            </w:r>
            <w:r>
              <w:rPr>
                <w:rFonts w:cs="Times New Roman"/>
              </w:rPr>
              <w:t>TBD</w:t>
            </w:r>
            <w:r>
              <w:rPr>
                <w:rFonts w:hint="eastAsia"/>
              </w:rPr>
              <w:t>）算法、独特的非恒定自适应门限设计，能够有效抑制海、雨、雪杂波，全自动精准提取雷达散射截面积（</w:t>
            </w:r>
            <w:r>
              <w:rPr>
                <w:rFonts w:cs="Times New Roman"/>
              </w:rPr>
              <w:t>RCS</w:t>
            </w:r>
            <w:r>
              <w:rPr>
                <w:rFonts w:hint="eastAsia"/>
              </w:rPr>
              <w:t>）</w:t>
            </w:r>
            <w:r>
              <w:rPr>
                <w:rFonts w:cs="Times New Roman"/>
              </w:rPr>
              <w:t>≥0.1</w:t>
            </w:r>
            <w:r>
              <w:rPr>
                <w:rFonts w:hint="eastAsia"/>
              </w:rPr>
              <w:t>㎡，物标高度</w:t>
            </w:r>
            <w:r>
              <w:rPr>
                <w:rFonts w:cs="Times New Roman"/>
              </w:rPr>
              <w:t>≥1m</w:t>
            </w:r>
            <w:r>
              <w:rPr>
                <w:rFonts w:hint="eastAsia"/>
              </w:rPr>
              <w:t>的海上高速、低速目标，并对其有效跟踪、探测和识别，弥补了常规探测手段遗漏小型目标的缺陷。系统先进的多信息融合技术在岸与岸、船与船、岸与船之间多站点组网时，可避免因不同传感器探测到同一目标后产生重复信息，并能显示目标探测与识别的传感器来源，同时实现统一平台下的态势分析。</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物理海洋仪器设备</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主要包括温盐深测量系统、多参数光学测量仪、测流仪器、波潮仪和其他产品等。</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海洋物探仪器设备</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主要包括海洋</w:t>
            </w:r>
            <w:r>
              <w:rPr>
                <w:rFonts w:cs="Times New Roman"/>
              </w:rPr>
              <w:t>/</w:t>
            </w:r>
            <w:r>
              <w:rPr>
                <w:rFonts w:hint="eastAsia"/>
              </w:rPr>
              <w:t>航空重力仪、海洋磁力仪、海底静力触探系统和海洋地震仪。</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海洋测绘仪器设备</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主要包括多波束测深系统、单波束测深系统、侧扫声纳系统、浅地层剖面仪系统、组合式侧扫声纳</w:t>
            </w:r>
            <w:r>
              <w:rPr>
                <w:rFonts w:cs="Times New Roman"/>
              </w:rPr>
              <w:t>/</w:t>
            </w:r>
            <w:r>
              <w:rPr>
                <w:rFonts w:hint="eastAsia"/>
              </w:rPr>
              <w:t>浅地层剖面仪系统、深海拖曳系统、测绘软件和声呐同步控制器等。</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lastRenderedPageBreak/>
              <w:t>水下工程仪器设备</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主要包括声学释放器、声学通讯机、浮力材料、抗拽网海底安装座、</w:t>
            </w:r>
            <w:r>
              <w:rPr>
                <w:rFonts w:cs="Times New Roman"/>
              </w:rPr>
              <w:t>ROV</w:t>
            </w:r>
            <w:r>
              <w:rPr>
                <w:rFonts w:hint="eastAsia"/>
              </w:rPr>
              <w:t>（有缆遥控潜器）、救生潜器、水下三维全景成像声纳系统、水下二维图像声纳、前视声纳系统、水下作业工具及设备、</w:t>
            </w:r>
            <w:r>
              <w:rPr>
                <w:rFonts w:cs="Times New Roman"/>
              </w:rPr>
              <w:t>A</w:t>
            </w:r>
            <w:r>
              <w:rPr>
                <w:rFonts w:hint="eastAsia"/>
              </w:rPr>
              <w:t>型架与吊艇架、绞车、水密接插件、导航定位仪器设备和水下声学换能器等</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无人智能监测平台</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该平台通过岸基船队综合管理系统，借助卫星通信链路，对多种自主无人艇、无人机进行统一管控的综合性海洋探测设备搭载平台系统。该系统包括柴油动力高速无人艇系列、电动力低速测量船系列、太阳能动力无人艇系列、波浪能水面无人艇系列和无人机系列，可通过搭载不同的任务载荷，在广阔的海域进行较长时间的路径跟踪和位置保持，并通过复合无线通讯系统，将监测数据传输到船队服务管理系统，并可在不同的操作终端进行远程控制。</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海底观测网</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海底观测网主要由岸站、主接驳节点、次接驳节点和</w:t>
            </w:r>
            <w:r>
              <w:rPr>
                <w:rFonts w:cs="Times New Roman"/>
              </w:rPr>
              <w:t>SIIM(</w:t>
            </w:r>
            <w:r>
              <w:rPr>
                <w:rFonts w:hint="eastAsia"/>
              </w:rPr>
              <w:t>海底仪器接口模块</w:t>
            </w:r>
            <w:r>
              <w:rPr>
                <w:rFonts w:cs="Times New Roman"/>
              </w:rPr>
              <w:t>)</w:t>
            </w:r>
            <w:r>
              <w:rPr>
                <w:rFonts w:hint="eastAsia"/>
              </w:rPr>
              <w:t>和科学仪器设备等五部分组成，为水下观、探测装备</w:t>
            </w:r>
            <w:r>
              <w:rPr>
                <w:rFonts w:cs="Times New Roman"/>
              </w:rPr>
              <w:t>/</w:t>
            </w:r>
            <w:r>
              <w:rPr>
                <w:rFonts w:hint="eastAsia"/>
              </w:rPr>
              <w:t>设备提供长时间、不间断的电源及通信信道，实现水下多参数、大范围监测，为海上石油天然气开发、海洋科学研究以及其它海洋应用提供科学数据。</w:t>
            </w:r>
          </w:p>
        </w:tc>
      </w:tr>
      <w:tr w:rsidR="00A9288A">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hint="eastAsia"/>
              </w:rPr>
              <w:t>海兰云</w:t>
            </w:r>
            <w:r>
              <w:rPr>
                <w:rFonts w:cs="Times New Roman"/>
              </w:rPr>
              <w:t>“Hi-Cloud”</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指</w:t>
            </w:r>
          </w:p>
        </w:tc>
        <w:tc>
          <w:tcPr>
            <w:tcW w:w="65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海兰云</w:t>
            </w:r>
            <w:r>
              <w:rPr>
                <w:rFonts w:cs="Times New Roman"/>
              </w:rPr>
              <w:t>“Hi-Cloud”</w:t>
            </w:r>
            <w:r>
              <w:rPr>
                <w:rFonts w:hint="eastAsia"/>
              </w:rPr>
              <w:t>船舶远程信息服务系统，凭借海兰信</w:t>
            </w:r>
            <w:r>
              <w:rPr>
                <w:rFonts w:cs="Times New Roman"/>
              </w:rPr>
              <w:t>VDR+</w:t>
            </w:r>
            <w:r>
              <w:rPr>
                <w:rFonts w:hint="eastAsia"/>
              </w:rPr>
              <w:t>、</w:t>
            </w:r>
            <w:r>
              <w:rPr>
                <w:rFonts w:cs="Times New Roman"/>
              </w:rPr>
              <w:t>INS+</w:t>
            </w:r>
            <w:r>
              <w:rPr>
                <w:rFonts w:hint="eastAsia"/>
              </w:rPr>
              <w:t>或</w:t>
            </w:r>
            <w:r>
              <w:rPr>
                <w:rFonts w:cs="Times New Roman"/>
              </w:rPr>
              <w:t>VMS+</w:t>
            </w:r>
            <w:r>
              <w:rPr>
                <w:rFonts w:hint="eastAsia"/>
              </w:rPr>
              <w:t>采集船舶的航行、机舱、货物、视频等数据，通过</w:t>
            </w:r>
            <w:r>
              <w:rPr>
                <w:rFonts w:cs="Times New Roman"/>
              </w:rPr>
              <w:t>FBB/VSAT</w:t>
            </w:r>
            <w:r>
              <w:rPr>
                <w:rFonts w:hint="eastAsia"/>
              </w:rPr>
              <w:t>卫星或</w:t>
            </w:r>
            <w:r>
              <w:rPr>
                <w:rFonts w:cs="Times New Roman"/>
              </w:rPr>
              <w:t>3G/4G</w:t>
            </w:r>
            <w:r>
              <w:rPr>
                <w:rFonts w:hint="eastAsia"/>
              </w:rPr>
              <w:t>网络传递到</w:t>
            </w:r>
            <w:r>
              <w:rPr>
                <w:rFonts w:cs="Times New Roman"/>
              </w:rPr>
              <w:t>IPHONE</w:t>
            </w:r>
            <w:r>
              <w:rPr>
                <w:rFonts w:hint="eastAsia"/>
              </w:rPr>
              <w:t>、</w:t>
            </w:r>
            <w:r>
              <w:rPr>
                <w:rFonts w:cs="Times New Roman"/>
              </w:rPr>
              <w:t>IPAD</w:t>
            </w:r>
            <w:r>
              <w:rPr>
                <w:rFonts w:hint="eastAsia"/>
              </w:rPr>
              <w:t>、</w:t>
            </w:r>
            <w:r>
              <w:rPr>
                <w:rFonts w:cs="Times New Roman"/>
              </w:rPr>
              <w:t>PC</w:t>
            </w:r>
            <w:r>
              <w:rPr>
                <w:rFonts w:hint="eastAsia"/>
              </w:rPr>
              <w:t>等终端的岸端云服务器，同时采集全球的海洋气象洋流信息，在云服务器上对各种信息进行存储、梳理分析及挖掘，进而形成一个船舶信息服务平台。该平台能够向船舶提供气象导航及航线优化、设备诊断支持、办公自动化、海图及其他数据下载更新等服务，向岸端管理及监管部门提供船舶综合状态信息和设备远程诊断维护、船舶事故数据下载回放、船舶隐患预警、办公自动化等服务，使相关部门能够及时了解船舶状况，做出合理决策，以确保船舶航行安全，节省能源、降低运维成本、提高运营效能。</w:t>
            </w:r>
          </w:p>
        </w:tc>
      </w:tr>
    </w:tbl>
    <w:p w:rsidR="00A9288A" w:rsidRDefault="00A9288A">
      <w:pPr>
        <w:rPr>
          <w:rFonts w:eastAsia="Times New Roman" w:cs="Times New Roman"/>
        </w:rPr>
        <w:sectPr w:rsidR="00A9288A">
          <w:pgSz w:w="11906" w:h="16838"/>
          <w:pgMar w:top="1440" w:right="1134" w:bottom="1440" w:left="1134" w:header="851" w:footer="992" w:gutter="0"/>
          <w:cols w:space="720"/>
          <w:docGrid w:type="lines" w:linePitch="312"/>
        </w:sectPr>
      </w:pPr>
    </w:p>
    <w:p w:rsidR="00A9288A" w:rsidRDefault="007A4434">
      <w:pPr>
        <w:pStyle w:val="a6"/>
        <w:outlineLvl w:val="0"/>
        <w:rPr>
          <w:rFonts w:eastAsia="Times New Roman" w:cs="Times New Roman"/>
        </w:rPr>
      </w:pPr>
      <w:bookmarkStart w:id="2" w:name="_Toc521663253"/>
      <w:r>
        <w:rPr>
          <w:rFonts w:hint="eastAsia"/>
        </w:rPr>
        <w:lastRenderedPageBreak/>
        <w:t>第二节</w:t>
      </w:r>
      <w:r>
        <w:rPr>
          <w:rFonts w:cs="Times New Roman"/>
        </w:rPr>
        <w:t xml:space="preserve"> </w:t>
      </w:r>
      <w:r>
        <w:rPr>
          <w:rFonts w:hint="eastAsia"/>
        </w:rPr>
        <w:t>公司简介和主要财务指标</w:t>
      </w:r>
      <w:bookmarkEnd w:id="2"/>
    </w:p>
    <w:p w:rsidR="00A9288A" w:rsidRDefault="007A4434">
      <w:pPr>
        <w:pStyle w:val="Chapter"/>
        <w:outlineLvl w:val="1"/>
        <w:rPr>
          <w:rFonts w:eastAsia="Times New Roman" w:cs="Times New Roman"/>
        </w:rPr>
      </w:pPr>
      <w:r>
        <w:rPr>
          <w:rFonts w:hint="eastAsia"/>
        </w:rPr>
        <w:t>一、公司简介</w:t>
      </w:r>
    </w:p>
    <w:tbl>
      <w:tblPr>
        <w:tblW w:w="0" w:type="auto"/>
        <w:tblInd w:w="28" w:type="dxa"/>
        <w:tblLayout w:type="fixed"/>
        <w:tblCellMar>
          <w:left w:w="28" w:type="dxa"/>
          <w:right w:w="28" w:type="dxa"/>
        </w:tblCellMar>
        <w:tblLook w:val="0000" w:firstRow="0" w:lastRow="0" w:firstColumn="0" w:lastColumn="0" w:noHBand="0" w:noVBand="0"/>
      </w:tblPr>
      <w:tblGrid>
        <w:gridCol w:w="2930"/>
        <w:gridCol w:w="2305"/>
        <w:gridCol w:w="2157"/>
        <w:gridCol w:w="2177"/>
      </w:tblGrid>
      <w:tr w:rsidR="00A9288A">
        <w:tc>
          <w:tcPr>
            <w:tcW w:w="293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股票简称</w:t>
            </w:r>
          </w:p>
        </w:tc>
        <w:tc>
          <w:tcPr>
            <w:tcW w:w="230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海兰信</w:t>
            </w:r>
          </w:p>
        </w:tc>
        <w:tc>
          <w:tcPr>
            <w:tcW w:w="215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股票代码</w:t>
            </w:r>
          </w:p>
        </w:tc>
        <w:tc>
          <w:tcPr>
            <w:tcW w:w="21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300065</w:t>
            </w:r>
          </w:p>
        </w:tc>
      </w:tr>
      <w:tr w:rsidR="00A9288A">
        <w:tc>
          <w:tcPr>
            <w:tcW w:w="293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股票上市证券交易所</w:t>
            </w:r>
          </w:p>
        </w:tc>
        <w:tc>
          <w:tcPr>
            <w:tcW w:w="6639"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深圳证券交易所</w:t>
            </w:r>
          </w:p>
        </w:tc>
      </w:tr>
      <w:tr w:rsidR="00A9288A">
        <w:tc>
          <w:tcPr>
            <w:tcW w:w="293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公司的中文名称</w:t>
            </w:r>
          </w:p>
        </w:tc>
        <w:tc>
          <w:tcPr>
            <w:tcW w:w="6639" w:type="dxa"/>
            <w:gridSpan w:val="3"/>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北京海兰信数据科技股份有限公司</w:t>
            </w:r>
          </w:p>
        </w:tc>
      </w:tr>
      <w:tr w:rsidR="00A9288A">
        <w:tc>
          <w:tcPr>
            <w:tcW w:w="293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公司的中文简称（如有）</w:t>
            </w:r>
          </w:p>
        </w:tc>
        <w:tc>
          <w:tcPr>
            <w:tcW w:w="663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海兰信</w:t>
            </w:r>
          </w:p>
        </w:tc>
      </w:tr>
      <w:tr w:rsidR="00A9288A">
        <w:tc>
          <w:tcPr>
            <w:tcW w:w="293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公司的外文名称（如有）</w:t>
            </w:r>
          </w:p>
        </w:tc>
        <w:tc>
          <w:tcPr>
            <w:tcW w:w="663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Beijing Highlander Digital Technology Co., Ltd.</w:t>
            </w:r>
          </w:p>
        </w:tc>
      </w:tr>
      <w:tr w:rsidR="00A9288A">
        <w:tc>
          <w:tcPr>
            <w:tcW w:w="293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公司的外文名称缩写（如有）</w:t>
            </w:r>
          </w:p>
        </w:tc>
        <w:tc>
          <w:tcPr>
            <w:tcW w:w="663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Highlander</w:t>
            </w:r>
          </w:p>
        </w:tc>
      </w:tr>
      <w:tr w:rsidR="00A9288A">
        <w:tc>
          <w:tcPr>
            <w:tcW w:w="293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公司的法定代表人</w:t>
            </w:r>
          </w:p>
        </w:tc>
        <w:tc>
          <w:tcPr>
            <w:tcW w:w="6639" w:type="dxa"/>
            <w:gridSpan w:val="3"/>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申万秋</w:t>
            </w:r>
          </w:p>
        </w:tc>
      </w:tr>
    </w:tbl>
    <w:p w:rsidR="00A9288A" w:rsidRDefault="007A4434">
      <w:pPr>
        <w:pStyle w:val="Chapter"/>
        <w:outlineLvl w:val="1"/>
        <w:rPr>
          <w:rFonts w:eastAsia="Times New Roman" w:cs="Times New Roman"/>
        </w:rPr>
      </w:pPr>
      <w:r>
        <w:rPr>
          <w:rFonts w:hint="eastAsia"/>
        </w:rPr>
        <w:t>二、联系人和联系方式</w:t>
      </w:r>
    </w:p>
    <w:tbl>
      <w:tblPr>
        <w:tblW w:w="0" w:type="auto"/>
        <w:tblInd w:w="28" w:type="dxa"/>
        <w:tblLayout w:type="fixed"/>
        <w:tblCellMar>
          <w:left w:w="28" w:type="dxa"/>
          <w:right w:w="28" w:type="dxa"/>
        </w:tblCellMar>
        <w:tblLook w:val="0000" w:firstRow="0" w:lastRow="0" w:firstColumn="0" w:lastColumn="0" w:noHBand="0" w:noVBand="0"/>
      </w:tblPr>
      <w:tblGrid>
        <w:gridCol w:w="3189"/>
        <w:gridCol w:w="3190"/>
        <w:gridCol w:w="3190"/>
      </w:tblGrid>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center"/>
              <w:rPr>
                <w:rFonts w:eastAsia="Times New Roman" w:cs="Times New Roman"/>
              </w:rPr>
            </w:pP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董事会秘书</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证券事务代表</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姓名</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姜楠</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葛井波</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联系地址</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北京市海淀区中关村东路</w:t>
            </w:r>
            <w:r>
              <w:rPr>
                <w:rFonts w:cs="Times New Roman"/>
              </w:rPr>
              <w:t>1</w:t>
            </w:r>
            <w:r>
              <w:rPr>
                <w:rFonts w:hint="eastAsia"/>
              </w:rPr>
              <w:t>号清华科技园科技大厦</w:t>
            </w:r>
            <w:r>
              <w:rPr>
                <w:rFonts w:cs="Times New Roman"/>
              </w:rPr>
              <w:t>C</w:t>
            </w:r>
            <w:r>
              <w:rPr>
                <w:rFonts w:hint="eastAsia"/>
              </w:rPr>
              <w:t>座</w:t>
            </w:r>
            <w:r>
              <w:rPr>
                <w:rFonts w:cs="Times New Roman"/>
              </w:rPr>
              <w:t>1902</w:t>
            </w:r>
            <w:r>
              <w:rPr>
                <w:rFonts w:hint="eastAsia"/>
              </w:rPr>
              <w:t>室</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北京市海淀区中关村东路</w:t>
            </w:r>
            <w:r>
              <w:rPr>
                <w:rFonts w:cs="Times New Roman"/>
              </w:rPr>
              <w:t>1</w:t>
            </w:r>
            <w:r>
              <w:rPr>
                <w:rFonts w:hint="eastAsia"/>
              </w:rPr>
              <w:t>号清华科技园科技大厦</w:t>
            </w:r>
            <w:r>
              <w:rPr>
                <w:rFonts w:cs="Times New Roman"/>
              </w:rPr>
              <w:t>C</w:t>
            </w:r>
            <w:r>
              <w:rPr>
                <w:rFonts w:hint="eastAsia"/>
              </w:rPr>
              <w:t>座</w:t>
            </w:r>
            <w:r>
              <w:rPr>
                <w:rFonts w:cs="Times New Roman"/>
              </w:rPr>
              <w:t>1902</w:t>
            </w:r>
            <w:r>
              <w:rPr>
                <w:rFonts w:hint="eastAsia"/>
              </w:rPr>
              <w:t>室</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电话</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hint="eastAsia"/>
              </w:rPr>
              <w:t>（</w:t>
            </w:r>
            <w:r>
              <w:rPr>
                <w:rFonts w:cs="Times New Roman"/>
              </w:rPr>
              <w:t>010</w:t>
            </w:r>
            <w:r>
              <w:rPr>
                <w:rFonts w:hint="eastAsia"/>
              </w:rPr>
              <w:t>）</w:t>
            </w:r>
            <w:r>
              <w:rPr>
                <w:rFonts w:cs="Times New Roman"/>
              </w:rPr>
              <w:t>82151445</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hint="eastAsia"/>
              </w:rPr>
              <w:t>（</w:t>
            </w:r>
            <w:r>
              <w:rPr>
                <w:rFonts w:cs="Times New Roman"/>
              </w:rPr>
              <w:t>010</w:t>
            </w:r>
            <w:r>
              <w:rPr>
                <w:rFonts w:hint="eastAsia"/>
              </w:rPr>
              <w:t>）</w:t>
            </w:r>
            <w:r>
              <w:rPr>
                <w:rFonts w:cs="Times New Roman"/>
              </w:rPr>
              <w:t>82151445</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传真</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hint="eastAsia"/>
              </w:rPr>
              <w:t>（</w:t>
            </w:r>
            <w:r>
              <w:rPr>
                <w:rFonts w:cs="Times New Roman"/>
              </w:rPr>
              <w:t>010</w:t>
            </w:r>
            <w:r>
              <w:rPr>
                <w:rFonts w:hint="eastAsia"/>
              </w:rPr>
              <w:t>）</w:t>
            </w:r>
            <w:r>
              <w:rPr>
                <w:rFonts w:cs="Times New Roman"/>
              </w:rPr>
              <w:t>82150083</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hint="eastAsia"/>
              </w:rPr>
              <w:t>（</w:t>
            </w:r>
            <w:r>
              <w:rPr>
                <w:rFonts w:cs="Times New Roman"/>
              </w:rPr>
              <w:t>010</w:t>
            </w:r>
            <w:r>
              <w:rPr>
                <w:rFonts w:hint="eastAsia"/>
              </w:rPr>
              <w:t>）</w:t>
            </w:r>
            <w:r>
              <w:rPr>
                <w:rFonts w:cs="Times New Roman"/>
              </w:rPr>
              <w:t>82150083</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电子信箱</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jiangn@highlander.com.cn</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gejb@highlander.com.cn</w:t>
            </w:r>
          </w:p>
        </w:tc>
      </w:tr>
    </w:tbl>
    <w:p w:rsidR="00A9288A" w:rsidRDefault="007A4434">
      <w:pPr>
        <w:pStyle w:val="Chapter"/>
        <w:outlineLvl w:val="1"/>
        <w:rPr>
          <w:rFonts w:eastAsia="Times New Roman" w:cs="Times New Roman"/>
        </w:rPr>
      </w:pPr>
      <w:r>
        <w:rPr>
          <w:rFonts w:hint="eastAsia"/>
        </w:rPr>
        <w:t>三、其他情况</w:t>
      </w:r>
    </w:p>
    <w:p w:rsidR="00A9288A" w:rsidRDefault="007A4434">
      <w:pPr>
        <w:pStyle w:val="Section"/>
        <w:outlineLvl w:val="2"/>
        <w:rPr>
          <w:rFonts w:eastAsia="Times New Roman" w:cs="Times New Roman"/>
        </w:rPr>
      </w:pPr>
      <w:r>
        <w:rPr>
          <w:rFonts w:cs="Times New Roman"/>
        </w:rPr>
        <w:t>1</w:t>
      </w:r>
      <w:r>
        <w:rPr>
          <w:rFonts w:hint="eastAsia"/>
        </w:rPr>
        <w:t>、公司联系方式</w:t>
      </w:r>
    </w:p>
    <w:p w:rsidR="00A9288A" w:rsidRDefault="007A4434">
      <w:pPr>
        <w:jc w:val="left"/>
        <w:rPr>
          <w:rFonts w:eastAsia="Times New Roman" w:cs="Times New Roman"/>
        </w:rPr>
      </w:pPr>
      <w:r>
        <w:rPr>
          <w:rFonts w:hint="eastAsia"/>
        </w:rPr>
        <w:t>公司注册地址，公司办公地址及其邮政编码，公司网址、电子信箱在报告期是否变化</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公司注册地址，公司办公地址及其邮政编码，公司网址、电子信箱报告期无变化，具体可参见</w:t>
      </w:r>
      <w:r>
        <w:rPr>
          <w:rFonts w:cs="Times New Roman"/>
        </w:rPr>
        <w:t>2017</w:t>
      </w:r>
      <w:r>
        <w:rPr>
          <w:rFonts w:hint="eastAsia"/>
        </w:rPr>
        <w:t>年年报。</w:t>
      </w:r>
    </w:p>
    <w:p w:rsidR="00A9288A" w:rsidRDefault="007A4434">
      <w:pPr>
        <w:pStyle w:val="Section"/>
        <w:outlineLvl w:val="2"/>
        <w:rPr>
          <w:rFonts w:eastAsia="Times New Roman" w:cs="Times New Roman"/>
        </w:rPr>
      </w:pPr>
      <w:r>
        <w:rPr>
          <w:rFonts w:cs="Times New Roman"/>
        </w:rPr>
        <w:t>2</w:t>
      </w:r>
      <w:r>
        <w:rPr>
          <w:rFonts w:hint="eastAsia"/>
        </w:rPr>
        <w:t>、信息披露及备置地点</w:t>
      </w:r>
    </w:p>
    <w:p w:rsidR="00A9288A" w:rsidRDefault="007A4434">
      <w:pPr>
        <w:jc w:val="left"/>
        <w:rPr>
          <w:rFonts w:eastAsia="Times New Roman" w:cs="Times New Roman"/>
        </w:rPr>
      </w:pPr>
      <w:r>
        <w:rPr>
          <w:rFonts w:hint="eastAsia"/>
        </w:rPr>
        <w:t>信息披露及备置地点在报告期是否变化</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公司选定的信息披露报纸的名称，登载半年度报告的中国证监会指定网站的网址，公司半年度报告备置地报告期无变化，具体可参见</w:t>
      </w:r>
      <w:r>
        <w:rPr>
          <w:rFonts w:cs="Times New Roman"/>
        </w:rPr>
        <w:t>2017</w:t>
      </w:r>
      <w:r>
        <w:rPr>
          <w:rFonts w:hint="eastAsia"/>
        </w:rPr>
        <w:t>年年报。</w:t>
      </w:r>
    </w:p>
    <w:p w:rsidR="00A9288A" w:rsidRDefault="007A4434">
      <w:pPr>
        <w:pStyle w:val="Section"/>
        <w:outlineLvl w:val="2"/>
        <w:rPr>
          <w:rFonts w:eastAsia="Times New Roman" w:cs="Times New Roman"/>
        </w:rPr>
      </w:pPr>
      <w:r>
        <w:rPr>
          <w:rFonts w:cs="Times New Roman"/>
        </w:rPr>
        <w:lastRenderedPageBreak/>
        <w:t>3</w:t>
      </w:r>
      <w:r>
        <w:rPr>
          <w:rFonts w:hint="eastAsia"/>
        </w:rPr>
        <w:t>、注册变更情况</w:t>
      </w:r>
    </w:p>
    <w:p w:rsidR="00A9288A" w:rsidRDefault="007A4434">
      <w:pPr>
        <w:jc w:val="left"/>
        <w:rPr>
          <w:rFonts w:eastAsia="Times New Roman" w:cs="Times New Roman"/>
        </w:rPr>
      </w:pPr>
      <w:r>
        <w:rPr>
          <w:rFonts w:hint="eastAsia"/>
        </w:rPr>
        <w:t>注册情况在报告期是否变更情况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公司注册情况在报告期无变化，具体可参见</w:t>
      </w:r>
      <w:r>
        <w:rPr>
          <w:rFonts w:cs="Times New Roman"/>
        </w:rPr>
        <w:t>2017</w:t>
      </w:r>
      <w:r>
        <w:rPr>
          <w:rFonts w:hint="eastAsia"/>
        </w:rPr>
        <w:t>年年报。</w:t>
      </w:r>
    </w:p>
    <w:p w:rsidR="00A9288A" w:rsidRDefault="007A4434">
      <w:pPr>
        <w:pStyle w:val="Section"/>
        <w:outlineLvl w:val="2"/>
        <w:rPr>
          <w:rFonts w:eastAsia="Times New Roman" w:cs="Times New Roman"/>
        </w:rPr>
      </w:pPr>
      <w:r>
        <w:rPr>
          <w:rFonts w:cs="Times New Roman"/>
        </w:rPr>
        <w:t>4</w:t>
      </w:r>
      <w:r>
        <w:rPr>
          <w:rFonts w:hint="eastAsia"/>
        </w:rPr>
        <w:t>、其他有关资料</w:t>
      </w:r>
    </w:p>
    <w:p w:rsidR="00A9288A" w:rsidRDefault="007A4434">
      <w:pPr>
        <w:jc w:val="left"/>
        <w:rPr>
          <w:rFonts w:eastAsia="Times New Roman" w:cs="Times New Roman"/>
        </w:rPr>
      </w:pPr>
      <w:r>
        <w:rPr>
          <w:rFonts w:hint="eastAsia"/>
        </w:rPr>
        <w:t>其他有关资料在报告期是否变更情况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Chapter"/>
        <w:outlineLvl w:val="1"/>
        <w:rPr>
          <w:rFonts w:eastAsia="Times New Roman" w:cs="Times New Roman"/>
        </w:rPr>
      </w:pPr>
      <w:r>
        <w:rPr>
          <w:rFonts w:hint="eastAsia"/>
        </w:rPr>
        <w:t>四、主要会计数据和财务指标</w:t>
      </w:r>
    </w:p>
    <w:p w:rsidR="00A9288A" w:rsidRDefault="007A4434">
      <w:pPr>
        <w:jc w:val="left"/>
        <w:rPr>
          <w:rFonts w:eastAsia="Times New Roman" w:cs="Times New Roman"/>
        </w:rPr>
      </w:pPr>
      <w:r>
        <w:rPr>
          <w:rFonts w:hint="eastAsia"/>
        </w:rPr>
        <w:t>公司是否需追溯调整或重述以前年度会计数据</w:t>
      </w:r>
    </w:p>
    <w:p w:rsidR="00A9288A" w:rsidRDefault="007A4434">
      <w:pPr>
        <w:jc w:val="left"/>
        <w:rPr>
          <w:rFonts w:cs="Times New Roman"/>
        </w:rPr>
      </w:pPr>
      <w:r>
        <w:rPr>
          <w:rFonts w:cs="Times New Roman"/>
        </w:rPr>
        <w:t xml:space="preserve">□ </w:t>
      </w:r>
      <w:r>
        <w:rPr>
          <w:rFonts w:hint="eastAsia"/>
        </w:rPr>
        <w:t>是</w:t>
      </w:r>
      <w:r>
        <w:rPr>
          <w:rFonts w:cs="Times New Roman"/>
        </w:rPr>
        <w:t xml:space="preserve"> √ </w:t>
      </w:r>
      <w:r>
        <w:rPr>
          <w:rFonts w:hint="eastAsia"/>
        </w:rPr>
        <w:t>否</w:t>
      </w:r>
      <w:r>
        <w:rPr>
          <w:rFonts w:cs="Times New Roman"/>
        </w:rPr>
        <w:t xml:space="preserve"> </w:t>
      </w:r>
    </w:p>
    <w:tbl>
      <w:tblPr>
        <w:tblW w:w="0" w:type="auto"/>
        <w:tblInd w:w="28" w:type="dxa"/>
        <w:tblLayout w:type="fixed"/>
        <w:tblCellMar>
          <w:left w:w="28" w:type="dxa"/>
          <w:right w:w="28" w:type="dxa"/>
        </w:tblCellMar>
        <w:tblLook w:val="0000" w:firstRow="0" w:lastRow="0" w:firstColumn="0" w:lastColumn="0" w:noHBand="0" w:noVBand="0"/>
      </w:tblPr>
      <w:tblGrid>
        <w:gridCol w:w="3200"/>
        <w:gridCol w:w="2123"/>
        <w:gridCol w:w="2123"/>
        <w:gridCol w:w="2123"/>
      </w:tblGrid>
      <w:tr w:rsidR="00A9288A">
        <w:tc>
          <w:tcPr>
            <w:tcW w:w="32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center"/>
              <w:rPr>
                <w:rFonts w:eastAsia="Times New Roman" w:cs="Times New Roman"/>
              </w:rPr>
            </w:pPr>
          </w:p>
        </w:tc>
        <w:tc>
          <w:tcPr>
            <w:tcW w:w="212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本报告期</w:t>
            </w:r>
          </w:p>
        </w:tc>
        <w:tc>
          <w:tcPr>
            <w:tcW w:w="212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上年同期</w:t>
            </w:r>
          </w:p>
        </w:tc>
        <w:tc>
          <w:tcPr>
            <w:tcW w:w="212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本报告期比上年同期增减</w:t>
            </w:r>
          </w:p>
        </w:tc>
      </w:tr>
      <w:tr w:rsidR="00A9288A">
        <w:tc>
          <w:tcPr>
            <w:tcW w:w="32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营业总收入（元）</w:t>
            </w:r>
          </w:p>
        </w:tc>
        <w:tc>
          <w:tcPr>
            <w:tcW w:w="212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318,531,866.77</w:t>
            </w:r>
          </w:p>
        </w:tc>
        <w:tc>
          <w:tcPr>
            <w:tcW w:w="212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318,854,464.01</w:t>
            </w:r>
          </w:p>
        </w:tc>
        <w:tc>
          <w:tcPr>
            <w:tcW w:w="212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-0.10%</w:t>
            </w:r>
          </w:p>
        </w:tc>
      </w:tr>
      <w:tr w:rsidR="00A9288A">
        <w:tc>
          <w:tcPr>
            <w:tcW w:w="32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归属于上市公司股东的净利润（元）</w:t>
            </w:r>
          </w:p>
        </w:tc>
        <w:tc>
          <w:tcPr>
            <w:tcW w:w="212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59,531,272.15</w:t>
            </w:r>
          </w:p>
        </w:tc>
        <w:tc>
          <w:tcPr>
            <w:tcW w:w="212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48,203,041.03</w:t>
            </w:r>
          </w:p>
        </w:tc>
        <w:tc>
          <w:tcPr>
            <w:tcW w:w="212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23.50%</w:t>
            </w:r>
          </w:p>
        </w:tc>
      </w:tr>
      <w:tr w:rsidR="00A9288A">
        <w:tc>
          <w:tcPr>
            <w:tcW w:w="32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归属于上市公司股东的扣除非经常性损益后的净利润（元）</w:t>
            </w:r>
          </w:p>
        </w:tc>
        <w:tc>
          <w:tcPr>
            <w:tcW w:w="212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46,261,991.48</w:t>
            </w:r>
          </w:p>
        </w:tc>
        <w:tc>
          <w:tcPr>
            <w:tcW w:w="212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38,048,460.38</w:t>
            </w:r>
          </w:p>
        </w:tc>
        <w:tc>
          <w:tcPr>
            <w:tcW w:w="212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21.59%</w:t>
            </w:r>
          </w:p>
        </w:tc>
      </w:tr>
      <w:tr w:rsidR="00A9288A">
        <w:tc>
          <w:tcPr>
            <w:tcW w:w="32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经营活动产生的现金流量净额（元）</w:t>
            </w:r>
          </w:p>
        </w:tc>
        <w:tc>
          <w:tcPr>
            <w:tcW w:w="212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56,445,112.71</w:t>
            </w:r>
          </w:p>
        </w:tc>
        <w:tc>
          <w:tcPr>
            <w:tcW w:w="212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-31,991,037.88</w:t>
            </w:r>
          </w:p>
        </w:tc>
        <w:tc>
          <w:tcPr>
            <w:tcW w:w="212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276.44%</w:t>
            </w:r>
          </w:p>
        </w:tc>
      </w:tr>
      <w:tr w:rsidR="00A9288A">
        <w:tc>
          <w:tcPr>
            <w:tcW w:w="32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基本每股收益（元</w:t>
            </w:r>
            <w:r>
              <w:rPr>
                <w:rFonts w:cs="Times New Roman"/>
              </w:rPr>
              <w:t>/</w:t>
            </w:r>
            <w:r>
              <w:rPr>
                <w:rFonts w:hint="eastAsia"/>
              </w:rPr>
              <w:t>股）</w:t>
            </w:r>
          </w:p>
        </w:tc>
        <w:tc>
          <w:tcPr>
            <w:tcW w:w="212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0.1645</w:t>
            </w:r>
          </w:p>
        </w:tc>
        <w:tc>
          <w:tcPr>
            <w:tcW w:w="212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0.1330</w:t>
            </w:r>
          </w:p>
        </w:tc>
        <w:tc>
          <w:tcPr>
            <w:tcW w:w="212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23.68%</w:t>
            </w:r>
          </w:p>
        </w:tc>
      </w:tr>
      <w:tr w:rsidR="00A9288A">
        <w:tc>
          <w:tcPr>
            <w:tcW w:w="32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稀释每股收益（元</w:t>
            </w:r>
            <w:r>
              <w:rPr>
                <w:rFonts w:cs="Times New Roman"/>
              </w:rPr>
              <w:t>/</w:t>
            </w:r>
            <w:r>
              <w:rPr>
                <w:rFonts w:hint="eastAsia"/>
              </w:rPr>
              <w:t>股）</w:t>
            </w:r>
          </w:p>
        </w:tc>
        <w:tc>
          <w:tcPr>
            <w:tcW w:w="212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0.1645</w:t>
            </w:r>
          </w:p>
        </w:tc>
        <w:tc>
          <w:tcPr>
            <w:tcW w:w="212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0.1330</w:t>
            </w:r>
          </w:p>
        </w:tc>
        <w:tc>
          <w:tcPr>
            <w:tcW w:w="212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23.68%</w:t>
            </w:r>
          </w:p>
        </w:tc>
      </w:tr>
      <w:tr w:rsidR="00A9288A">
        <w:tc>
          <w:tcPr>
            <w:tcW w:w="32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加权平均净资产收益率</w:t>
            </w:r>
          </w:p>
        </w:tc>
        <w:tc>
          <w:tcPr>
            <w:tcW w:w="212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4.76%</w:t>
            </w:r>
          </w:p>
        </w:tc>
        <w:tc>
          <w:tcPr>
            <w:tcW w:w="212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3.81%</w:t>
            </w:r>
          </w:p>
        </w:tc>
        <w:tc>
          <w:tcPr>
            <w:tcW w:w="212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0.95%</w:t>
            </w:r>
          </w:p>
        </w:tc>
      </w:tr>
      <w:tr w:rsidR="00A9288A">
        <w:tc>
          <w:tcPr>
            <w:tcW w:w="32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c>
          <w:tcPr>
            <w:tcW w:w="212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本报告期末</w:t>
            </w:r>
          </w:p>
        </w:tc>
        <w:tc>
          <w:tcPr>
            <w:tcW w:w="212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上年度末</w:t>
            </w:r>
          </w:p>
        </w:tc>
        <w:tc>
          <w:tcPr>
            <w:tcW w:w="212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本报告期末比上年度末增减</w:t>
            </w:r>
          </w:p>
        </w:tc>
      </w:tr>
      <w:tr w:rsidR="00A9288A">
        <w:tc>
          <w:tcPr>
            <w:tcW w:w="32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总资产（元）</w:t>
            </w:r>
          </w:p>
        </w:tc>
        <w:tc>
          <w:tcPr>
            <w:tcW w:w="212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2,251,221,079.06</w:t>
            </w:r>
          </w:p>
        </w:tc>
        <w:tc>
          <w:tcPr>
            <w:tcW w:w="212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2,212,605,506.96</w:t>
            </w:r>
          </w:p>
        </w:tc>
        <w:tc>
          <w:tcPr>
            <w:tcW w:w="212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1.75%</w:t>
            </w:r>
          </w:p>
        </w:tc>
      </w:tr>
      <w:tr w:rsidR="00A9288A">
        <w:tc>
          <w:tcPr>
            <w:tcW w:w="32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归属于上市公司股东的净资产（元）</w:t>
            </w:r>
          </w:p>
        </w:tc>
        <w:tc>
          <w:tcPr>
            <w:tcW w:w="212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1,198,551,507.57</w:t>
            </w:r>
          </w:p>
        </w:tc>
        <w:tc>
          <w:tcPr>
            <w:tcW w:w="212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1,221,507,226.19</w:t>
            </w:r>
          </w:p>
        </w:tc>
        <w:tc>
          <w:tcPr>
            <w:tcW w:w="212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-1.88%</w:t>
            </w:r>
          </w:p>
        </w:tc>
      </w:tr>
    </w:tbl>
    <w:p w:rsidR="00A9288A" w:rsidRDefault="007A4434">
      <w:pPr>
        <w:pStyle w:val="Chapter"/>
        <w:outlineLvl w:val="1"/>
        <w:rPr>
          <w:rFonts w:eastAsia="Times New Roman" w:cs="Times New Roman"/>
        </w:rPr>
      </w:pPr>
      <w:r>
        <w:rPr>
          <w:rFonts w:hint="eastAsia"/>
        </w:rPr>
        <w:t>五、境内外会计准则下会计数据差异</w:t>
      </w:r>
    </w:p>
    <w:p w:rsidR="00A9288A" w:rsidRDefault="007A4434">
      <w:pPr>
        <w:pStyle w:val="Section"/>
        <w:outlineLvl w:val="2"/>
        <w:rPr>
          <w:rFonts w:eastAsia="Times New Roman" w:cs="Times New Roman"/>
        </w:rPr>
      </w:pPr>
      <w:r>
        <w:rPr>
          <w:rFonts w:cs="Times New Roman"/>
        </w:rPr>
        <w:t>1</w:t>
      </w:r>
      <w:r>
        <w:rPr>
          <w:rFonts w:hint="eastAsia"/>
        </w:rPr>
        <w:t>、同时按照国际会计准则与按照中国会计准则披露的财务报告中净利润和净资产差异情况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公司报告期不存在按照国际会计准则与按照中国会计准则披露的财务报告中净利润和净资产差异情况。</w:t>
      </w:r>
    </w:p>
    <w:p w:rsidR="00A9288A" w:rsidRDefault="007A4434">
      <w:pPr>
        <w:pStyle w:val="Section"/>
        <w:outlineLvl w:val="2"/>
        <w:rPr>
          <w:rFonts w:eastAsia="Times New Roman" w:cs="Times New Roman"/>
        </w:rPr>
      </w:pPr>
      <w:r>
        <w:rPr>
          <w:rFonts w:cs="Times New Roman"/>
        </w:rPr>
        <w:t>2</w:t>
      </w:r>
      <w:r>
        <w:rPr>
          <w:rFonts w:hint="eastAsia"/>
        </w:rPr>
        <w:t>、同时按照境外会计准则与按照中国会计准则披露的财务报告中净利润和净资产差异情况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公司报告期不存在按照境外会计准则与按照中国会计准则披露的财务报告中净利润和净资产差异情况。</w:t>
      </w:r>
    </w:p>
    <w:p w:rsidR="00A9288A" w:rsidRDefault="007A4434">
      <w:pPr>
        <w:pStyle w:val="Chapter"/>
        <w:outlineLvl w:val="1"/>
        <w:rPr>
          <w:rFonts w:eastAsia="Times New Roman" w:cs="Times New Roman"/>
        </w:rPr>
      </w:pPr>
      <w:r>
        <w:rPr>
          <w:rFonts w:hint="eastAsia"/>
        </w:rPr>
        <w:lastRenderedPageBreak/>
        <w:t>六、非经常性损益项目及金额</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right"/>
        <w:rPr>
          <w:rFonts w:eastAsia="Times New Roman" w:cs="Times New Roman"/>
        </w:rPr>
      </w:pPr>
      <w:r>
        <w:rPr>
          <w:rFonts w:hint="eastAsia"/>
        </w:rPr>
        <w:t>单位：元</w:t>
      </w:r>
    </w:p>
    <w:tbl>
      <w:tblPr>
        <w:tblW w:w="0" w:type="auto"/>
        <w:tblInd w:w="28" w:type="dxa"/>
        <w:tblLayout w:type="fixed"/>
        <w:tblCellMar>
          <w:left w:w="28" w:type="dxa"/>
          <w:right w:w="28" w:type="dxa"/>
        </w:tblCellMar>
        <w:tblLook w:val="0000" w:firstRow="0" w:lastRow="0" w:firstColumn="0" w:lastColumn="0" w:noHBand="0" w:noVBand="0"/>
      </w:tblPr>
      <w:tblGrid>
        <w:gridCol w:w="4831"/>
        <w:gridCol w:w="2231"/>
        <w:gridCol w:w="2506"/>
      </w:tblGrid>
      <w:tr w:rsidR="00A9288A">
        <w:tc>
          <w:tcPr>
            <w:tcW w:w="483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223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金额</w:t>
            </w:r>
          </w:p>
        </w:tc>
        <w:tc>
          <w:tcPr>
            <w:tcW w:w="250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说明</w:t>
            </w:r>
          </w:p>
        </w:tc>
      </w:tr>
      <w:tr w:rsidR="00A9288A">
        <w:tc>
          <w:tcPr>
            <w:tcW w:w="483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非流动资产处置损益（包括已计提资产减值准备的冲销部分）</w:t>
            </w:r>
          </w:p>
        </w:tc>
        <w:tc>
          <w:tcPr>
            <w:tcW w:w="2231"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312,522.81</w:t>
            </w:r>
          </w:p>
        </w:tc>
        <w:tc>
          <w:tcPr>
            <w:tcW w:w="2506" w:type="dxa"/>
            <w:tcBorders>
              <w:top w:val="single" w:sz="4" w:space="0" w:color="auto"/>
              <w:left w:val="single" w:sz="4" w:space="0" w:color="auto"/>
              <w:bottom w:val="single" w:sz="4" w:space="0" w:color="auto"/>
              <w:right w:val="single" w:sz="4" w:space="0" w:color="auto"/>
            </w:tcBorders>
            <w:vAlign w:val="center"/>
          </w:tcPr>
          <w:p w:rsidR="00A9288A" w:rsidRDefault="00A9288A">
            <w:pPr>
              <w:jc w:val="left"/>
              <w:rPr>
                <w:rFonts w:eastAsia="Times New Roman" w:cs="Times New Roman"/>
              </w:rPr>
            </w:pPr>
          </w:p>
        </w:tc>
      </w:tr>
      <w:tr w:rsidR="00A9288A">
        <w:tc>
          <w:tcPr>
            <w:tcW w:w="483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计入当期损益的政府补助（与企业业务密切相关，按照国家统一标准定额或定量享受的政府补助除外）</w:t>
            </w:r>
          </w:p>
        </w:tc>
        <w:tc>
          <w:tcPr>
            <w:tcW w:w="2231"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15,915,564.48</w:t>
            </w:r>
          </w:p>
        </w:tc>
        <w:tc>
          <w:tcPr>
            <w:tcW w:w="2506" w:type="dxa"/>
            <w:tcBorders>
              <w:top w:val="single" w:sz="4" w:space="0" w:color="auto"/>
              <w:left w:val="single" w:sz="4" w:space="0" w:color="auto"/>
              <w:bottom w:val="single" w:sz="4" w:space="0" w:color="auto"/>
              <w:right w:val="single" w:sz="4" w:space="0" w:color="auto"/>
            </w:tcBorders>
            <w:vAlign w:val="center"/>
          </w:tcPr>
          <w:p w:rsidR="00A9288A" w:rsidRDefault="00A9288A">
            <w:pPr>
              <w:jc w:val="left"/>
              <w:rPr>
                <w:rFonts w:eastAsia="Times New Roman" w:cs="Times New Roman"/>
              </w:rPr>
            </w:pPr>
          </w:p>
        </w:tc>
      </w:tr>
      <w:tr w:rsidR="00A9288A">
        <w:tc>
          <w:tcPr>
            <w:tcW w:w="483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除上述各项之外的其他营业外收入和支出</w:t>
            </w:r>
          </w:p>
        </w:tc>
        <w:tc>
          <w:tcPr>
            <w:tcW w:w="2231"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192,345.04</w:t>
            </w:r>
          </w:p>
        </w:tc>
        <w:tc>
          <w:tcPr>
            <w:tcW w:w="2506" w:type="dxa"/>
            <w:tcBorders>
              <w:top w:val="single" w:sz="4" w:space="0" w:color="auto"/>
              <w:left w:val="single" w:sz="4" w:space="0" w:color="auto"/>
              <w:bottom w:val="single" w:sz="4" w:space="0" w:color="auto"/>
              <w:right w:val="single" w:sz="4" w:space="0" w:color="auto"/>
            </w:tcBorders>
            <w:vAlign w:val="center"/>
          </w:tcPr>
          <w:p w:rsidR="00A9288A" w:rsidRDefault="00A9288A">
            <w:pPr>
              <w:jc w:val="left"/>
              <w:rPr>
                <w:rFonts w:eastAsia="Times New Roman" w:cs="Times New Roman"/>
              </w:rPr>
            </w:pPr>
          </w:p>
        </w:tc>
      </w:tr>
      <w:tr w:rsidR="00A9288A">
        <w:tc>
          <w:tcPr>
            <w:tcW w:w="483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 xml:space="preserve"> </w:t>
            </w:r>
            <w:r>
              <w:rPr>
                <w:rFonts w:hint="eastAsia"/>
              </w:rPr>
              <w:t>处置长期股权投资收益</w:t>
            </w:r>
            <w:r>
              <w:rPr>
                <w:rFonts w:cs="Times New Roman"/>
              </w:rPr>
              <w:t xml:space="preserve"> </w:t>
            </w:r>
          </w:p>
        </w:tc>
        <w:tc>
          <w:tcPr>
            <w:tcW w:w="223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28,125.39</w:t>
            </w:r>
          </w:p>
        </w:tc>
        <w:tc>
          <w:tcPr>
            <w:tcW w:w="250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r>
      <w:tr w:rsidR="00A9288A">
        <w:tc>
          <w:tcPr>
            <w:tcW w:w="483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减：所得税影响额</w:t>
            </w:r>
          </w:p>
        </w:tc>
        <w:tc>
          <w:tcPr>
            <w:tcW w:w="2231"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2,368,913.55</w:t>
            </w:r>
          </w:p>
        </w:tc>
        <w:tc>
          <w:tcPr>
            <w:tcW w:w="2506" w:type="dxa"/>
            <w:tcBorders>
              <w:top w:val="single" w:sz="4" w:space="0" w:color="auto"/>
              <w:left w:val="single" w:sz="4" w:space="0" w:color="auto"/>
              <w:bottom w:val="single" w:sz="4" w:space="0" w:color="auto"/>
              <w:right w:val="single" w:sz="4" w:space="0" w:color="auto"/>
            </w:tcBorders>
            <w:vAlign w:val="center"/>
          </w:tcPr>
          <w:p w:rsidR="00A9288A" w:rsidRDefault="00A9288A">
            <w:pPr>
              <w:jc w:val="left"/>
              <w:rPr>
                <w:rFonts w:eastAsia="Times New Roman" w:cs="Times New Roman"/>
              </w:rPr>
            </w:pPr>
          </w:p>
        </w:tc>
      </w:tr>
      <w:tr w:rsidR="00A9288A">
        <w:tc>
          <w:tcPr>
            <w:tcW w:w="483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少数股东权益影响额（税后）</w:t>
            </w:r>
          </w:p>
        </w:tc>
        <w:tc>
          <w:tcPr>
            <w:tcW w:w="2231"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810,363.50</w:t>
            </w:r>
          </w:p>
        </w:tc>
        <w:tc>
          <w:tcPr>
            <w:tcW w:w="2506" w:type="dxa"/>
            <w:tcBorders>
              <w:top w:val="single" w:sz="4" w:space="0" w:color="auto"/>
              <w:left w:val="single" w:sz="4" w:space="0" w:color="auto"/>
              <w:bottom w:val="single" w:sz="4" w:space="0" w:color="auto"/>
              <w:right w:val="single" w:sz="4" w:space="0" w:color="auto"/>
            </w:tcBorders>
            <w:vAlign w:val="center"/>
          </w:tcPr>
          <w:p w:rsidR="00A9288A" w:rsidRDefault="00A9288A">
            <w:pPr>
              <w:jc w:val="left"/>
              <w:rPr>
                <w:rFonts w:eastAsia="Times New Roman" w:cs="Times New Roman"/>
              </w:rPr>
            </w:pPr>
          </w:p>
        </w:tc>
      </w:tr>
      <w:tr w:rsidR="00A9288A">
        <w:tc>
          <w:tcPr>
            <w:tcW w:w="483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2231"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13,269,280.67</w:t>
            </w:r>
          </w:p>
        </w:tc>
        <w:tc>
          <w:tcPr>
            <w:tcW w:w="250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r>
    </w:tbl>
    <w:p w:rsidR="00A9288A" w:rsidRDefault="007A4434">
      <w:pPr>
        <w:jc w:val="left"/>
        <w:rPr>
          <w:rFonts w:eastAsia="Times New Roman" w:cs="Times New Roman"/>
        </w:rPr>
      </w:pPr>
      <w:r>
        <w:rPr>
          <w:rFonts w:hint="eastAsia"/>
        </w:rPr>
        <w:t>对公司根据《公开发行证券的公司信息披露解释性公告第</w:t>
      </w:r>
      <w:r>
        <w:rPr>
          <w:rFonts w:cs="Times New Roman"/>
        </w:rPr>
        <w:t>1</w:t>
      </w:r>
      <w:r>
        <w:rPr>
          <w:rFonts w:hint="eastAsia"/>
        </w:rPr>
        <w:t>号</w:t>
      </w:r>
      <w:r>
        <w:rPr>
          <w:rFonts w:cs="Times New Roman"/>
        </w:rPr>
        <w:t>——</w:t>
      </w:r>
      <w:r>
        <w:rPr>
          <w:rFonts w:hint="eastAsia"/>
        </w:rPr>
        <w:t>非经常性损益》定义界定的非经常性损益项目，以及把《公开发行证券的公司信息披露解释性公告第</w:t>
      </w:r>
      <w:r>
        <w:rPr>
          <w:rFonts w:cs="Times New Roman"/>
        </w:rPr>
        <w:t>1</w:t>
      </w:r>
      <w:r>
        <w:rPr>
          <w:rFonts w:hint="eastAsia"/>
        </w:rPr>
        <w:t>号</w:t>
      </w:r>
      <w:r>
        <w:rPr>
          <w:rFonts w:cs="Times New Roman"/>
        </w:rPr>
        <w:t>——</w:t>
      </w:r>
      <w:r>
        <w:rPr>
          <w:rFonts w:hint="eastAsia"/>
        </w:rPr>
        <w:t>非经常性损益》中列举的非经常性损益项目界定为经常性损益的项目，应说明原因</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公司报告期不存在将根据《公开发行证券的公司信息披露解释性公告第</w:t>
      </w:r>
      <w:r>
        <w:rPr>
          <w:rFonts w:cs="Times New Roman"/>
        </w:rPr>
        <w:t>1</w:t>
      </w:r>
      <w:r>
        <w:rPr>
          <w:rFonts w:hint="eastAsia"/>
        </w:rPr>
        <w:t>号</w:t>
      </w:r>
      <w:r>
        <w:rPr>
          <w:rFonts w:cs="Times New Roman"/>
        </w:rPr>
        <w:t>——</w:t>
      </w:r>
      <w:r>
        <w:rPr>
          <w:rFonts w:hint="eastAsia"/>
        </w:rPr>
        <w:t>非经常性损益》定义、列举的非经常性损益项目界定为经常性损益的项目的情形。</w:t>
      </w:r>
    </w:p>
    <w:p w:rsidR="00A9288A" w:rsidRDefault="00A9288A">
      <w:pPr>
        <w:jc w:val="left"/>
        <w:rPr>
          <w:rFonts w:eastAsia="Times New Roman" w:cs="Times New Roman"/>
        </w:rPr>
        <w:sectPr w:rsidR="00A9288A">
          <w:pgSz w:w="11906" w:h="16838"/>
          <w:pgMar w:top="1440" w:right="1134" w:bottom="1440" w:left="1134" w:header="851" w:footer="992" w:gutter="0"/>
          <w:cols w:space="720"/>
          <w:docGrid w:type="lines" w:linePitch="312"/>
        </w:sectPr>
      </w:pPr>
    </w:p>
    <w:p w:rsidR="00A9288A" w:rsidRDefault="007A4434">
      <w:pPr>
        <w:pStyle w:val="a6"/>
        <w:outlineLvl w:val="0"/>
        <w:rPr>
          <w:rFonts w:eastAsia="Times New Roman" w:cs="Times New Roman"/>
        </w:rPr>
      </w:pPr>
      <w:bookmarkStart w:id="3" w:name="_Toc521663254"/>
      <w:r>
        <w:rPr>
          <w:rFonts w:hint="eastAsia"/>
        </w:rPr>
        <w:lastRenderedPageBreak/>
        <w:t>第三节</w:t>
      </w:r>
      <w:r>
        <w:rPr>
          <w:rFonts w:cs="Times New Roman"/>
        </w:rPr>
        <w:t xml:space="preserve"> </w:t>
      </w:r>
      <w:r>
        <w:rPr>
          <w:rFonts w:hint="eastAsia"/>
        </w:rPr>
        <w:t>公司业务概要</w:t>
      </w:r>
      <w:bookmarkEnd w:id="3"/>
    </w:p>
    <w:p w:rsidR="00A9288A" w:rsidRDefault="007A4434">
      <w:pPr>
        <w:pStyle w:val="Chapter"/>
        <w:outlineLvl w:val="1"/>
        <w:rPr>
          <w:rFonts w:eastAsia="Times New Roman" w:cs="Times New Roman"/>
        </w:rPr>
      </w:pPr>
      <w:r>
        <w:rPr>
          <w:rFonts w:hint="eastAsia"/>
        </w:rPr>
        <w:t>一、报告期内公司从事的主要业务</w:t>
      </w:r>
    </w:p>
    <w:p w:rsidR="00A9288A" w:rsidRDefault="007A4434">
      <w:pPr>
        <w:jc w:val="left"/>
        <w:rPr>
          <w:rFonts w:eastAsia="Times New Roman" w:cs="Times New Roman"/>
        </w:rPr>
      </w:pPr>
      <w:r>
        <w:rPr>
          <w:rFonts w:hint="eastAsia"/>
        </w:rPr>
        <w:t>公司是否需要遵守特殊行业的披露要求</w:t>
      </w:r>
    </w:p>
    <w:p w:rsidR="00A9288A" w:rsidRDefault="007A4434">
      <w:pPr>
        <w:jc w:val="left"/>
        <w:rPr>
          <w:rFonts w:eastAsia="Times New Roman" w:cs="Times New Roman"/>
        </w:rPr>
      </w:pPr>
      <w:r>
        <w:rPr>
          <w:rFonts w:hint="eastAsia"/>
        </w:rPr>
        <w:t>否</w:t>
      </w:r>
    </w:p>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ascii="宋体" w:hAnsi="宋体" w:hint="eastAsia"/>
          <w:b/>
          <w:bCs/>
          <w:kern w:val="0"/>
          <w:sz w:val="21"/>
          <w:szCs w:val="21"/>
          <w:lang w:val="zh-CN"/>
        </w:rPr>
        <w:t>（一）公司主要业务和产品介绍</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公司聚焦</w:t>
      </w:r>
      <w:r>
        <w:rPr>
          <w:rFonts w:eastAsia="Times New Roman" w:cs="Times New Roman"/>
          <w:kern w:val="0"/>
          <w:sz w:val="21"/>
          <w:szCs w:val="21"/>
          <w:lang w:val="zh-CN"/>
        </w:rPr>
        <w:t>“</w:t>
      </w:r>
      <w:r>
        <w:rPr>
          <w:rFonts w:ascii="宋体" w:hAnsi="宋体" w:hint="eastAsia"/>
          <w:kern w:val="0"/>
          <w:sz w:val="21"/>
          <w:szCs w:val="21"/>
          <w:lang w:val="zh-CN"/>
        </w:rPr>
        <w:t>海洋</w:t>
      </w:r>
      <w:r>
        <w:rPr>
          <w:rFonts w:eastAsia="Times New Roman" w:cs="Times New Roman"/>
          <w:kern w:val="0"/>
          <w:sz w:val="21"/>
          <w:szCs w:val="21"/>
          <w:lang w:val="zh-CN"/>
        </w:rPr>
        <w:t>”</w:t>
      </w:r>
      <w:r>
        <w:rPr>
          <w:rFonts w:ascii="宋体" w:hAnsi="宋体" w:hint="eastAsia"/>
          <w:kern w:val="0"/>
          <w:sz w:val="21"/>
          <w:szCs w:val="21"/>
          <w:lang w:val="zh-CN"/>
        </w:rPr>
        <w:t>，致力于成为全球智能航海的引领者，中国智慧海洋的建设者，基于此，公司形成了智能航海业务体系与智慧海洋业务体系。</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智能航海产品系列包括船舶综合导航系统、智能信息平台和系列导航单品。综合导航系统，是船舶航行的关键设备，在此基础上集成相关传感器及设备，即可实现船舶航行系统的数字化及集成化，能够有效降低驾驶员劳动强度，提高航行安全和效率，它也是未来智能船舶、无人船舶的核心基础设备。智能信息平台的核心是</w:t>
      </w:r>
      <w:r>
        <w:rPr>
          <w:rFonts w:eastAsia="Times New Roman" w:cs="Times New Roman"/>
          <w:kern w:val="0"/>
          <w:sz w:val="21"/>
          <w:szCs w:val="21"/>
          <w:lang w:val="zh-CN"/>
        </w:rPr>
        <w:t>“Hi-Cloud”</w:t>
      </w:r>
      <w:r>
        <w:rPr>
          <w:rFonts w:ascii="宋体" w:hAnsi="宋体" w:hint="eastAsia"/>
          <w:kern w:val="0"/>
          <w:sz w:val="21"/>
          <w:szCs w:val="21"/>
          <w:lang w:val="zh-CN"/>
        </w:rPr>
        <w:t>船舶远程信息服务系统，其通过自主的</w:t>
      </w:r>
      <w:r>
        <w:rPr>
          <w:rFonts w:eastAsia="Times New Roman" w:cs="Times New Roman"/>
          <w:kern w:val="0"/>
          <w:sz w:val="21"/>
          <w:szCs w:val="21"/>
          <w:lang w:val="zh-CN"/>
        </w:rPr>
        <w:t>VDR+</w:t>
      </w:r>
      <w:r>
        <w:rPr>
          <w:rFonts w:ascii="宋体" w:hAnsi="宋体" w:hint="eastAsia"/>
          <w:kern w:val="0"/>
          <w:sz w:val="21"/>
          <w:szCs w:val="21"/>
          <w:lang w:val="zh-CN"/>
        </w:rPr>
        <w:t>、</w:t>
      </w:r>
      <w:r>
        <w:rPr>
          <w:rFonts w:eastAsia="Times New Roman" w:cs="Times New Roman"/>
          <w:kern w:val="0"/>
          <w:sz w:val="21"/>
          <w:szCs w:val="21"/>
          <w:lang w:val="zh-CN"/>
        </w:rPr>
        <w:t>INS+</w:t>
      </w:r>
      <w:r>
        <w:rPr>
          <w:rFonts w:ascii="宋体" w:hAnsi="宋体" w:hint="eastAsia"/>
          <w:kern w:val="0"/>
          <w:sz w:val="21"/>
          <w:szCs w:val="21"/>
          <w:lang w:val="zh-CN"/>
        </w:rPr>
        <w:t>和</w:t>
      </w:r>
      <w:r>
        <w:rPr>
          <w:rFonts w:eastAsia="Times New Roman" w:cs="Times New Roman"/>
          <w:kern w:val="0"/>
          <w:sz w:val="21"/>
          <w:szCs w:val="21"/>
          <w:lang w:val="zh-CN"/>
        </w:rPr>
        <w:t>VMS+</w:t>
      </w:r>
      <w:r>
        <w:rPr>
          <w:rFonts w:ascii="宋体" w:hAnsi="宋体" w:hint="eastAsia"/>
          <w:kern w:val="0"/>
          <w:sz w:val="21"/>
          <w:szCs w:val="21"/>
          <w:lang w:val="zh-CN"/>
        </w:rPr>
        <w:t>等设备采集船舶的航行、机舱、货物、视频等数据，通过卫星或</w:t>
      </w:r>
      <w:r>
        <w:rPr>
          <w:rFonts w:eastAsia="Times New Roman" w:cs="Times New Roman"/>
          <w:kern w:val="0"/>
          <w:sz w:val="21"/>
          <w:szCs w:val="21"/>
          <w:lang w:val="zh-CN"/>
        </w:rPr>
        <w:t>3G/4G</w:t>
      </w:r>
      <w:r>
        <w:rPr>
          <w:rFonts w:ascii="宋体" w:hAnsi="宋体" w:hint="eastAsia"/>
          <w:kern w:val="0"/>
          <w:sz w:val="21"/>
          <w:szCs w:val="21"/>
          <w:lang w:val="zh-CN"/>
        </w:rPr>
        <w:t>网络传递到岸端云服务器，同时采集全球的海洋气象洋流信息，在云服务器上对各种信息进行存储、梳理分析及挖掘，进而形成一个船舶信息服务平台。该平台能够向船舶提供气象导航及航线优化、设备诊断支持、办公自动化、海图及其他数据下载更新等服务，向岸端管理及监管部门提供船舶综合状态信息和设备远程诊断维护、船舶事故数据下载回放、船舶隐患预警、办公自动化等服务，使相关部门能够及时了解船舶状况，做出合理决策，以确保船舶航行安全，节省能源、降低运维成本、提高运营效能。系列航海单品包括导航雷达、自动操舵仪、船舶数据记录仪和电子海图等。</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智慧海洋产品系列包括海洋观</w:t>
      </w:r>
      <w:r>
        <w:rPr>
          <w:rFonts w:eastAsia="Times New Roman" w:cs="Times New Roman"/>
          <w:kern w:val="0"/>
          <w:sz w:val="21"/>
          <w:szCs w:val="21"/>
          <w:lang w:val="zh-CN"/>
        </w:rPr>
        <w:t>(</w:t>
      </w:r>
      <w:r>
        <w:rPr>
          <w:rFonts w:ascii="宋体" w:hAnsi="宋体" w:hint="eastAsia"/>
          <w:kern w:val="0"/>
          <w:sz w:val="21"/>
          <w:szCs w:val="21"/>
          <w:lang w:val="zh-CN"/>
        </w:rPr>
        <w:t>监</w:t>
      </w:r>
      <w:r>
        <w:rPr>
          <w:rFonts w:eastAsia="Times New Roman" w:cs="Times New Roman"/>
          <w:kern w:val="0"/>
          <w:sz w:val="21"/>
          <w:szCs w:val="21"/>
          <w:lang w:val="zh-CN"/>
        </w:rPr>
        <w:t>)</w:t>
      </w:r>
      <w:r>
        <w:rPr>
          <w:rFonts w:ascii="宋体" w:hAnsi="宋体" w:hint="eastAsia"/>
          <w:kern w:val="0"/>
          <w:sz w:val="21"/>
          <w:szCs w:val="21"/>
          <w:lang w:val="zh-CN"/>
        </w:rPr>
        <w:t>测系统、相应的传感器、无人智能化平台以及海洋信息系统。</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海洋观（监）测系统包括基于雷达为核心的近海雷达综合观监测系统，以及基于海底网技术为核心的海底观测系统。公司拥有自主的雷达技术，包括：极小目标探测雷达、溢油探测雷达、海浪探测雷达以及高频地波雷达等，该系列产品可实现全自动跟踪、探测海上目标，尤其对极小目标（</w:t>
      </w:r>
      <w:r>
        <w:rPr>
          <w:rFonts w:eastAsia="Times New Roman" w:cs="Times New Roman"/>
          <w:kern w:val="0"/>
          <w:sz w:val="21"/>
          <w:szCs w:val="21"/>
          <w:lang w:val="zh-CN"/>
        </w:rPr>
        <w:t>RCS≥0.1</w:t>
      </w:r>
      <w:r>
        <w:rPr>
          <w:rFonts w:ascii="Segoe UI Symbol" w:eastAsia="Times New Roman" w:hAnsi="Segoe UI Symbol" w:cs="Segoe UI Symbol"/>
          <w:kern w:val="0"/>
          <w:sz w:val="21"/>
          <w:szCs w:val="21"/>
          <w:lang w:val="zh-CN"/>
        </w:rPr>
        <w:t>㎡</w:t>
      </w:r>
      <w:r>
        <w:rPr>
          <w:rFonts w:ascii="宋体" w:hAnsi="宋体" w:hint="eastAsia"/>
          <w:kern w:val="0"/>
          <w:sz w:val="21"/>
          <w:szCs w:val="21"/>
          <w:lang w:val="zh-CN"/>
        </w:rPr>
        <w:t>）具有良好的探测效果；以极小目标雷达技术为核心的近海雷达综合观监测系统通过与光电观察设备联动实现对海上目标的精确识别。海浪雷达和地波雷达系统可实现区域海浪和表层海流监测；从海兰信参与的近海雷达网应用情况看，近海雷达系统已成为海上执法、海洋环境治理、海洋环境预报、海洋防务、海洋渔业资源保护与开发等重要手段，也是国家推进智慧海洋建设的重要支撑。国家倡导的全球海洋立体观（监）测网中，海底观（监）测技术是重要的组成部分，公司本着国际化推动本地化的海洋发展战略，通过自主研发及国际引进等手段，整合了国际上最前沿的海底网技术及相应的运行经验，公司有能力承担深远海的综合观测项目。</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传感器系列包括物理海洋仪器设备、海洋物探仪器设备、海洋测绘仪器设备、水下工程仪器设备、无人智能监测平台等海洋监测产品，该系列产品用于海洋调查、监测、海洋测量、海工、资源勘探等领域。物理海洋仪器设备主要探测海水的物理特性（例如温度、盐度和密度的分布），以及海流、波浪、潮汐和水质、海面气象、海水声学特性等；海洋物探仪器设备主要用于测定海底地形的起源、探测沉积物及基岩成分和厚度、解释海底内部结构生成的原因等，为海底石油天然气、天然气水合物、锰结核等水下矿产资源勘探开发提供技术支持，主要包括数字地震缆、海底静力触探仪、海洋地震仪深海拖体等；海洋测绘仪器用以测量海洋底部的地球物理场的性质及其变化特征，绘制成不同比例尺的海图和专题海图，主要包括侧扫声呐、多波束测深声呐、浅地层剖面仪、海洋重力仪、海洋磁力仪等；水下工程仪器设备用以水下施工，如重型</w:t>
      </w:r>
      <w:r>
        <w:rPr>
          <w:rFonts w:eastAsia="Times New Roman" w:cs="Times New Roman"/>
          <w:kern w:val="0"/>
          <w:sz w:val="21"/>
          <w:szCs w:val="21"/>
          <w:lang w:val="zh-CN"/>
        </w:rPr>
        <w:t>ROV</w:t>
      </w:r>
      <w:r>
        <w:rPr>
          <w:rFonts w:ascii="宋体" w:hAnsi="宋体" w:hint="eastAsia"/>
          <w:kern w:val="0"/>
          <w:sz w:val="21"/>
          <w:szCs w:val="21"/>
          <w:lang w:val="zh-CN"/>
        </w:rPr>
        <w:t>、机械作业装置等；</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无人智能监测平台是以无人艇、无人机、波浪滑翔机、水下滑翔机、</w:t>
      </w:r>
      <w:r>
        <w:rPr>
          <w:rFonts w:eastAsia="Times New Roman" w:cs="Times New Roman"/>
          <w:kern w:val="0"/>
          <w:sz w:val="21"/>
          <w:szCs w:val="21"/>
          <w:lang w:val="zh-CN"/>
        </w:rPr>
        <w:t>AUV</w:t>
      </w:r>
      <w:r>
        <w:rPr>
          <w:rFonts w:ascii="宋体" w:hAnsi="宋体" w:hint="eastAsia"/>
          <w:kern w:val="0"/>
          <w:sz w:val="21"/>
          <w:szCs w:val="21"/>
          <w:lang w:val="zh-CN"/>
        </w:rPr>
        <w:t>、海底着陆器等为核心的传感器搭载平台，可实现长航时、自主航行、远程控制的水面水下目标监测和环境探测平台系统，通过搭载不同的任务载荷，在广阔的海域进行较长时间的路径跟踪和位置保持，并通过复合无线通讯系统，将监测</w:t>
      </w:r>
      <w:r>
        <w:rPr>
          <w:rFonts w:ascii="宋体" w:hAnsi="宋体" w:hint="eastAsia"/>
          <w:kern w:val="0"/>
          <w:sz w:val="21"/>
          <w:szCs w:val="21"/>
          <w:lang w:val="zh-CN"/>
        </w:rPr>
        <w:lastRenderedPageBreak/>
        <w:t>数据传输到船队和岸基服务管理系统，并可在不同的操作终端进行远程控制。</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海洋信息系统是基于具有标准规范、公共基础数据、公共基础功能的智慧海洋空间框架平台，实现分析、评价和评估模型软件化，新建或升级各类业务管理和智能决策系统，包括但不限于海洋综合管控、海域管理、监视监测、环境保护、防灾减灾、执法监察、海岛管理、应急指挥、海洋经济、海洋科技、渔业管理等细分领域的应用软件系统。公司当前在</w:t>
      </w:r>
      <w:r>
        <w:rPr>
          <w:rFonts w:eastAsia="Times New Roman" w:cs="Times New Roman"/>
          <w:kern w:val="0"/>
          <w:sz w:val="21"/>
          <w:szCs w:val="21"/>
          <w:lang w:val="zh-CN"/>
        </w:rPr>
        <w:t>“</w:t>
      </w:r>
      <w:r>
        <w:rPr>
          <w:rFonts w:ascii="宋体" w:hAnsi="宋体" w:hint="eastAsia"/>
          <w:kern w:val="0"/>
          <w:sz w:val="21"/>
          <w:szCs w:val="21"/>
          <w:lang w:val="zh-CN"/>
        </w:rPr>
        <w:t>近海雷达网</w:t>
      </w:r>
      <w:r>
        <w:rPr>
          <w:rFonts w:eastAsia="Times New Roman" w:cs="Times New Roman"/>
          <w:kern w:val="0"/>
          <w:sz w:val="21"/>
          <w:szCs w:val="21"/>
          <w:lang w:val="zh-CN"/>
        </w:rPr>
        <w:t>”</w:t>
      </w:r>
      <w:r>
        <w:rPr>
          <w:rFonts w:ascii="宋体" w:hAnsi="宋体" w:hint="eastAsia"/>
          <w:kern w:val="0"/>
          <w:sz w:val="21"/>
          <w:szCs w:val="21"/>
          <w:lang w:val="zh-CN"/>
        </w:rPr>
        <w:t>建设、海洋仪器设备、海岛海域信息服务等领域处于国内领先地位；在国产自主海洋设备、海洋环境信息服务等领域分别处于市场布局与市场上升阶段。</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公司</w:t>
      </w:r>
      <w:r>
        <w:rPr>
          <w:rFonts w:eastAsia="Times New Roman" w:cs="Times New Roman"/>
          <w:kern w:val="0"/>
          <w:sz w:val="21"/>
          <w:szCs w:val="21"/>
          <w:lang w:val="zh-CN"/>
        </w:rPr>
        <w:t>“</w:t>
      </w:r>
      <w:r>
        <w:rPr>
          <w:rFonts w:ascii="宋体" w:hAnsi="宋体" w:hint="eastAsia"/>
          <w:kern w:val="0"/>
          <w:sz w:val="21"/>
          <w:szCs w:val="21"/>
          <w:lang w:val="zh-CN"/>
        </w:rPr>
        <w:t>海事</w:t>
      </w:r>
      <w:r>
        <w:rPr>
          <w:rFonts w:eastAsia="Times New Roman" w:cs="Times New Roman"/>
          <w:kern w:val="0"/>
          <w:sz w:val="21"/>
          <w:szCs w:val="21"/>
          <w:lang w:val="zh-CN"/>
        </w:rPr>
        <w:t>+</w:t>
      </w:r>
      <w:r>
        <w:rPr>
          <w:rFonts w:ascii="宋体" w:hAnsi="宋体" w:hint="eastAsia"/>
          <w:kern w:val="0"/>
          <w:sz w:val="21"/>
          <w:szCs w:val="21"/>
          <w:lang w:val="zh-CN"/>
        </w:rPr>
        <w:t>海洋</w:t>
      </w:r>
      <w:r>
        <w:rPr>
          <w:rFonts w:eastAsia="Times New Roman" w:cs="Times New Roman"/>
          <w:kern w:val="0"/>
          <w:sz w:val="21"/>
          <w:szCs w:val="21"/>
          <w:lang w:val="zh-CN"/>
        </w:rPr>
        <w:t>”</w:t>
      </w:r>
      <w:r>
        <w:rPr>
          <w:rFonts w:ascii="宋体" w:hAnsi="宋体" w:hint="eastAsia"/>
          <w:kern w:val="0"/>
          <w:sz w:val="21"/>
          <w:szCs w:val="21"/>
          <w:lang w:val="zh-CN"/>
        </w:rPr>
        <w:t>的综合对海业务模式，可以为客户提供船舶通导智能化系统解决方案、岸基和船载</w:t>
      </w:r>
      <w:r>
        <w:rPr>
          <w:rFonts w:eastAsia="Times New Roman" w:cs="Times New Roman"/>
          <w:kern w:val="0"/>
          <w:sz w:val="21"/>
          <w:szCs w:val="21"/>
          <w:lang w:val="zh-CN"/>
        </w:rPr>
        <w:t>/</w:t>
      </w:r>
      <w:r>
        <w:rPr>
          <w:rFonts w:ascii="宋体" w:hAnsi="宋体" w:hint="eastAsia"/>
          <w:kern w:val="0"/>
          <w:sz w:val="21"/>
          <w:szCs w:val="21"/>
          <w:lang w:val="zh-CN"/>
        </w:rPr>
        <w:t>舰载对海监控管理服务的同时，构建起</w:t>
      </w:r>
      <w:r>
        <w:rPr>
          <w:rFonts w:eastAsia="Times New Roman" w:cs="Times New Roman"/>
          <w:kern w:val="0"/>
          <w:sz w:val="21"/>
          <w:szCs w:val="21"/>
          <w:lang w:val="zh-CN"/>
        </w:rPr>
        <w:t>“</w:t>
      </w:r>
      <w:r>
        <w:rPr>
          <w:rFonts w:ascii="宋体" w:hAnsi="宋体" w:hint="eastAsia"/>
          <w:kern w:val="0"/>
          <w:sz w:val="21"/>
          <w:szCs w:val="21"/>
          <w:lang w:val="zh-CN"/>
        </w:rPr>
        <w:t>近岸</w:t>
      </w:r>
      <w:r>
        <w:rPr>
          <w:rFonts w:eastAsia="Times New Roman" w:cs="Times New Roman"/>
          <w:kern w:val="0"/>
          <w:sz w:val="21"/>
          <w:szCs w:val="21"/>
          <w:lang w:val="zh-CN"/>
        </w:rPr>
        <w:t>+</w:t>
      </w:r>
      <w:r>
        <w:rPr>
          <w:rFonts w:ascii="宋体" w:hAnsi="宋体" w:hint="eastAsia"/>
          <w:kern w:val="0"/>
          <w:sz w:val="21"/>
          <w:szCs w:val="21"/>
          <w:lang w:val="zh-CN"/>
        </w:rPr>
        <w:t>近海</w:t>
      </w:r>
      <w:r>
        <w:rPr>
          <w:rFonts w:eastAsia="Times New Roman" w:cs="Times New Roman"/>
          <w:kern w:val="0"/>
          <w:sz w:val="21"/>
          <w:szCs w:val="21"/>
          <w:lang w:val="zh-CN"/>
        </w:rPr>
        <w:t>+</w:t>
      </w:r>
      <w:r>
        <w:rPr>
          <w:rFonts w:ascii="宋体" w:hAnsi="宋体" w:hint="eastAsia"/>
          <w:kern w:val="0"/>
          <w:sz w:val="21"/>
          <w:szCs w:val="21"/>
          <w:lang w:val="zh-CN"/>
        </w:rPr>
        <w:t>中远海</w:t>
      </w:r>
      <w:r>
        <w:rPr>
          <w:rFonts w:eastAsia="Times New Roman" w:cs="Times New Roman"/>
          <w:kern w:val="0"/>
          <w:sz w:val="21"/>
          <w:szCs w:val="21"/>
          <w:lang w:val="zh-CN"/>
        </w:rPr>
        <w:t>”</w:t>
      </w:r>
      <w:r>
        <w:rPr>
          <w:rFonts w:ascii="宋体" w:hAnsi="宋体" w:hint="eastAsia"/>
          <w:kern w:val="0"/>
          <w:sz w:val="21"/>
          <w:szCs w:val="21"/>
          <w:lang w:val="zh-CN"/>
        </w:rPr>
        <w:t>与</w:t>
      </w:r>
      <w:r>
        <w:rPr>
          <w:rFonts w:eastAsia="Times New Roman" w:cs="Times New Roman"/>
          <w:kern w:val="0"/>
          <w:sz w:val="21"/>
          <w:szCs w:val="21"/>
          <w:lang w:val="zh-CN"/>
        </w:rPr>
        <w:t>“</w:t>
      </w:r>
      <w:r>
        <w:rPr>
          <w:rFonts w:ascii="宋体" w:hAnsi="宋体" w:hint="eastAsia"/>
          <w:kern w:val="0"/>
          <w:sz w:val="21"/>
          <w:szCs w:val="21"/>
          <w:lang w:val="zh-CN"/>
        </w:rPr>
        <w:t>水面</w:t>
      </w:r>
      <w:r>
        <w:rPr>
          <w:rFonts w:eastAsia="Times New Roman" w:cs="Times New Roman"/>
          <w:kern w:val="0"/>
          <w:sz w:val="21"/>
          <w:szCs w:val="21"/>
          <w:lang w:val="zh-CN"/>
        </w:rPr>
        <w:t>+</w:t>
      </w:r>
      <w:r>
        <w:rPr>
          <w:rFonts w:ascii="宋体" w:hAnsi="宋体" w:hint="eastAsia"/>
          <w:kern w:val="0"/>
          <w:sz w:val="21"/>
          <w:szCs w:val="21"/>
          <w:lang w:val="zh-CN"/>
        </w:rPr>
        <w:t>水下</w:t>
      </w:r>
      <w:r>
        <w:rPr>
          <w:rFonts w:eastAsia="Times New Roman" w:cs="Times New Roman"/>
          <w:kern w:val="0"/>
          <w:sz w:val="21"/>
          <w:szCs w:val="21"/>
          <w:lang w:val="zh-CN"/>
        </w:rPr>
        <w:t>”</w:t>
      </w:r>
      <w:r>
        <w:rPr>
          <w:rFonts w:ascii="宋体" w:hAnsi="宋体" w:hint="eastAsia"/>
          <w:kern w:val="0"/>
          <w:sz w:val="21"/>
          <w:szCs w:val="21"/>
          <w:lang w:val="zh-CN"/>
        </w:rPr>
        <w:t>相结合的</w:t>
      </w:r>
      <w:r>
        <w:rPr>
          <w:rFonts w:eastAsia="Times New Roman" w:cs="Times New Roman"/>
          <w:kern w:val="0"/>
          <w:sz w:val="21"/>
          <w:szCs w:val="21"/>
          <w:lang w:val="zh-CN"/>
        </w:rPr>
        <w:t>“</w:t>
      </w:r>
      <w:r>
        <w:rPr>
          <w:rFonts w:ascii="宋体" w:hAnsi="宋体" w:hint="eastAsia"/>
          <w:kern w:val="0"/>
          <w:sz w:val="21"/>
          <w:szCs w:val="21"/>
          <w:lang w:val="zh-CN"/>
        </w:rPr>
        <w:t>海空天一体化</w:t>
      </w:r>
      <w:r>
        <w:rPr>
          <w:rFonts w:eastAsia="Times New Roman" w:cs="Times New Roman"/>
          <w:kern w:val="0"/>
          <w:sz w:val="21"/>
          <w:szCs w:val="21"/>
          <w:lang w:val="zh-CN"/>
        </w:rPr>
        <w:t>”</w:t>
      </w:r>
      <w:r>
        <w:rPr>
          <w:rFonts w:ascii="宋体" w:hAnsi="宋体" w:hint="eastAsia"/>
          <w:kern w:val="0"/>
          <w:sz w:val="21"/>
          <w:szCs w:val="21"/>
          <w:lang w:val="zh-CN"/>
        </w:rPr>
        <w:t>海洋监测网和海洋信息化数据平台，为海域使用管理、海洋环境保护、海洋资源勘探和开发利用、海洋执法监察等工作提供有效的数据决策信息。未来可为渔业管理部门探测与甄别非法捕捞；为海关监控非法走私；为保护区监控管理权益岛礁、领海基点、自然保护区警戒、无人岛屿非法建设、以及非法采砂、非法填海等；为救助部门监测海上移动目标（舰、船），为紧急救援、事故调查、商渔船碰撞提供监测、预警、救助信息；为环保部门监测洋流动向、泥沙走势，环境预警（溢油监测）、非法倾废、灾害预警等多种数据信息服务应用场景。</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公司所有产品同时面向军、政府公务体系（警）、民领域，</w:t>
      </w:r>
      <w:r>
        <w:rPr>
          <w:rFonts w:eastAsia="Times New Roman" w:cs="Times New Roman"/>
          <w:kern w:val="0"/>
          <w:sz w:val="21"/>
          <w:szCs w:val="21"/>
          <w:lang w:val="zh-CN"/>
        </w:rPr>
        <w:t>2004</w:t>
      </w:r>
      <w:r>
        <w:rPr>
          <w:rFonts w:ascii="宋体" w:hAnsi="宋体" w:hint="eastAsia"/>
          <w:kern w:val="0"/>
          <w:sz w:val="21"/>
          <w:szCs w:val="21"/>
          <w:lang w:val="zh-CN"/>
        </w:rPr>
        <w:t>年始公司成为海军装备供应商，拥有国家二级保密资格证书、军工产品质量体系认证证书、装备承制单位资格证书等齐全的军工资质。公司是中国上市公司协会军工委员会国防军工板块的</w:t>
      </w:r>
      <w:r>
        <w:rPr>
          <w:rFonts w:eastAsia="Times New Roman" w:cs="Times New Roman"/>
          <w:kern w:val="0"/>
          <w:sz w:val="21"/>
          <w:szCs w:val="21"/>
          <w:lang w:val="zh-CN"/>
        </w:rPr>
        <w:t>16</w:t>
      </w:r>
      <w:r>
        <w:rPr>
          <w:rFonts w:ascii="宋体" w:hAnsi="宋体" w:hint="eastAsia"/>
          <w:kern w:val="0"/>
          <w:sz w:val="21"/>
          <w:szCs w:val="21"/>
          <w:lang w:val="zh-CN"/>
        </w:rPr>
        <w:t>家民营上市公司之一。公司一直是中国海警、海事、救捞、渔政的供应商，为该类客户提供综合导航系统以及基于船端和岸基对海的监控管理系统等产品及服务。在民用领域，公司服务于远洋运输、海洋工程、海洋科学考察、海洋环境以及海洋渔业等领域，为客户提供综合导航、海洋信息、监控管理等产品及服务。</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报告期内公司的主营业务未发生重大变化。</w:t>
      </w:r>
    </w:p>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ascii="宋体" w:hAnsi="宋体" w:hint="eastAsia"/>
          <w:b/>
          <w:bCs/>
          <w:kern w:val="0"/>
          <w:sz w:val="21"/>
          <w:szCs w:val="21"/>
          <w:lang w:val="zh-CN"/>
        </w:rPr>
        <w:t>（二）聚焦公司主航道，践行公司战略</w:t>
      </w:r>
    </w:p>
    <w:p w:rsidR="00A9288A" w:rsidRDefault="00A3705B">
      <w:pPr>
        <w:autoSpaceDE w:val="0"/>
        <w:autoSpaceDN w:val="0"/>
        <w:adjustRightInd w:val="0"/>
        <w:spacing w:before="0" w:after="0"/>
        <w:ind w:firstLine="420"/>
        <w:jc w:val="center"/>
        <w:rPr>
          <w:rFonts w:eastAsia="Times New Roman" w:cs="Times New Roman"/>
          <w:kern w:val="0"/>
          <w:sz w:val="21"/>
          <w:szCs w:val="21"/>
          <w:lang w:val="zh-CN"/>
        </w:rPr>
      </w:pPr>
      <w:r>
        <w:rPr>
          <w:rFonts w:eastAsia="Times New Roman" w:cs="Times New Roman"/>
          <w:kern w:val="0"/>
          <w:sz w:val="21"/>
          <w:szCs w:val="21"/>
          <w:lang w:val="zh-CN"/>
        </w:rPr>
        <w:pict>
          <v:shape id="图片 2" o:spid="_x0000_i1027" type="#_x0000_t75" style="width:306pt;height:255.6pt;mso-wrap-style:square;mso-position-horizontal-relative:page;mso-position-vertical-relative:page">
            <v:imagedata r:id="rId9" o:title=""/>
          </v:shape>
        </w:pict>
      </w:r>
    </w:p>
    <w:p w:rsidR="00A9288A" w:rsidRDefault="00A9288A">
      <w:pPr>
        <w:autoSpaceDE w:val="0"/>
        <w:autoSpaceDN w:val="0"/>
        <w:adjustRightInd w:val="0"/>
        <w:spacing w:before="0" w:after="0"/>
        <w:ind w:firstLine="422"/>
        <w:jc w:val="left"/>
        <w:rPr>
          <w:rFonts w:eastAsia="Times New Roman" w:cs="Times New Roman"/>
          <w:b/>
          <w:bCs/>
          <w:kern w:val="0"/>
          <w:sz w:val="21"/>
          <w:szCs w:val="21"/>
          <w:lang w:val="zh-CN"/>
        </w:rPr>
      </w:pP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公司未来三年</w:t>
      </w:r>
      <w:r>
        <w:rPr>
          <w:rFonts w:eastAsia="Times New Roman" w:cs="Times New Roman"/>
          <w:kern w:val="0"/>
          <w:sz w:val="21"/>
          <w:szCs w:val="21"/>
          <w:lang w:val="zh-CN"/>
        </w:rPr>
        <w:t>“131”</w:t>
      </w:r>
      <w:r>
        <w:rPr>
          <w:rFonts w:ascii="宋体" w:hAnsi="宋体" w:hint="eastAsia"/>
          <w:kern w:val="0"/>
          <w:sz w:val="21"/>
          <w:szCs w:val="21"/>
          <w:lang w:val="zh-CN"/>
        </w:rPr>
        <w:t>战略规划如下：</w:t>
      </w:r>
    </w:p>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eastAsia="Times New Roman" w:cs="Times New Roman"/>
          <w:b/>
          <w:bCs/>
          <w:kern w:val="0"/>
          <w:sz w:val="21"/>
          <w:szCs w:val="21"/>
          <w:lang w:val="zh-CN"/>
        </w:rPr>
        <w:t>1</w:t>
      </w:r>
      <w:r>
        <w:rPr>
          <w:rFonts w:ascii="宋体" w:hAnsi="宋体" w:hint="eastAsia"/>
          <w:b/>
          <w:bCs/>
          <w:kern w:val="0"/>
          <w:sz w:val="21"/>
          <w:szCs w:val="21"/>
          <w:lang w:val="zh-CN"/>
        </w:rPr>
        <w:t>、一个国家战略引领</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公司所从事的事业符合国家政策，处于政策推动的风口，包括国家海洋强国、军民融合战略、</w:t>
      </w:r>
      <w:r>
        <w:rPr>
          <w:rFonts w:eastAsia="Times New Roman" w:cs="Times New Roman"/>
          <w:kern w:val="0"/>
          <w:sz w:val="21"/>
          <w:szCs w:val="21"/>
          <w:lang w:val="zh-CN"/>
        </w:rPr>
        <w:t>“</w:t>
      </w:r>
      <w:r>
        <w:rPr>
          <w:rFonts w:ascii="宋体" w:hAnsi="宋体" w:hint="eastAsia"/>
          <w:kern w:val="0"/>
          <w:sz w:val="21"/>
          <w:szCs w:val="21"/>
          <w:lang w:val="zh-CN"/>
        </w:rPr>
        <w:t>一带一路</w:t>
      </w:r>
      <w:r>
        <w:rPr>
          <w:rFonts w:eastAsia="Times New Roman" w:cs="Times New Roman"/>
          <w:kern w:val="0"/>
          <w:sz w:val="21"/>
          <w:szCs w:val="21"/>
          <w:lang w:val="zh-CN"/>
        </w:rPr>
        <w:t>”</w:t>
      </w:r>
      <w:r>
        <w:rPr>
          <w:rFonts w:ascii="宋体" w:hAnsi="宋体" w:hint="eastAsia"/>
          <w:kern w:val="0"/>
          <w:sz w:val="21"/>
          <w:szCs w:val="21"/>
          <w:lang w:val="zh-CN"/>
        </w:rPr>
        <w:t>倡议、《国家智能制造</w:t>
      </w:r>
      <w:r>
        <w:rPr>
          <w:rFonts w:eastAsia="Times New Roman" w:cs="Times New Roman"/>
          <w:kern w:val="0"/>
          <w:sz w:val="21"/>
          <w:szCs w:val="21"/>
          <w:lang w:val="zh-CN"/>
        </w:rPr>
        <w:t>2025</w:t>
      </w:r>
      <w:r>
        <w:rPr>
          <w:rFonts w:ascii="宋体" w:hAnsi="宋体" w:hint="eastAsia"/>
          <w:kern w:val="0"/>
          <w:sz w:val="21"/>
          <w:szCs w:val="21"/>
          <w:lang w:val="zh-CN"/>
        </w:rPr>
        <w:t>规划》等。</w:t>
      </w:r>
    </w:p>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eastAsia="Times New Roman" w:cs="Times New Roman"/>
          <w:b/>
          <w:bCs/>
          <w:kern w:val="0"/>
          <w:sz w:val="21"/>
          <w:szCs w:val="21"/>
          <w:lang w:val="zh-CN"/>
        </w:rPr>
        <w:lastRenderedPageBreak/>
        <w:t>2</w:t>
      </w:r>
      <w:r>
        <w:rPr>
          <w:rFonts w:ascii="宋体" w:hAnsi="宋体" w:hint="eastAsia"/>
          <w:b/>
          <w:bCs/>
          <w:kern w:val="0"/>
          <w:sz w:val="21"/>
          <w:szCs w:val="21"/>
          <w:lang w:val="zh-CN"/>
        </w:rPr>
        <w:t>、三个支柱业务</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公司未来三年将围绕三个核心业务进行拓展：即以智能船为核心的智能航海业务，这既包括相关的智能化产品、智能船总体解决方案提供以及智能大数据的挖掘与应用等；以参与建设的雷达网为切入点的全球海洋立体观测网业务，该业务的核心是为客户提供基于数据的运营服务，并根据客户需求不断拓展数据源，形成海洋数据综合采集与服务能力；以海底网等为代表的海洋仪器装备及重大项目，也包括相关的海洋传感器、无人观测系统等。</w:t>
      </w:r>
    </w:p>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eastAsia="Times New Roman" w:cs="Times New Roman"/>
          <w:b/>
          <w:bCs/>
          <w:kern w:val="0"/>
          <w:sz w:val="21"/>
          <w:szCs w:val="21"/>
          <w:lang w:val="zh-CN"/>
        </w:rPr>
        <w:t>3</w:t>
      </w:r>
      <w:r>
        <w:rPr>
          <w:rFonts w:ascii="宋体" w:hAnsi="宋体" w:hint="eastAsia"/>
          <w:b/>
          <w:bCs/>
          <w:kern w:val="0"/>
          <w:sz w:val="21"/>
          <w:szCs w:val="21"/>
          <w:lang w:val="zh-CN"/>
        </w:rPr>
        <w:t>、一个支撑平台</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鉴于公司所从事的业务很大程度上涉及国家战略，涉及军民融合领域，为此，公司将强化军工能力，运用资本手段与行业央企尤其是军工央企建立结构性合作，强化业务协同。</w:t>
      </w:r>
    </w:p>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ascii="宋体" w:hAnsi="宋体" w:hint="eastAsia"/>
          <w:b/>
          <w:bCs/>
          <w:kern w:val="0"/>
          <w:sz w:val="21"/>
          <w:szCs w:val="21"/>
          <w:lang w:val="zh-CN"/>
        </w:rPr>
        <w:t>（三）经营模式</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eastAsia="Times New Roman" w:cs="Times New Roman"/>
          <w:kern w:val="0"/>
          <w:sz w:val="21"/>
          <w:szCs w:val="21"/>
          <w:lang w:val="zh-CN"/>
        </w:rPr>
        <w:t>1</w:t>
      </w:r>
      <w:r>
        <w:rPr>
          <w:rFonts w:ascii="宋体" w:hAnsi="宋体" w:hint="eastAsia"/>
          <w:kern w:val="0"/>
          <w:sz w:val="21"/>
          <w:szCs w:val="21"/>
          <w:lang w:val="zh-CN"/>
        </w:rPr>
        <w:t>、采购模式：以销定采和以销定产，在规模采购降低成本的同时控制存货规模、提高资产周转率。</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eastAsia="Times New Roman" w:cs="Times New Roman"/>
          <w:kern w:val="0"/>
          <w:sz w:val="21"/>
          <w:szCs w:val="21"/>
          <w:lang w:val="zh-CN"/>
        </w:rPr>
        <w:t>2</w:t>
      </w:r>
      <w:r>
        <w:rPr>
          <w:rFonts w:ascii="宋体" w:hAnsi="宋体" w:hint="eastAsia"/>
          <w:kern w:val="0"/>
          <w:sz w:val="21"/>
          <w:szCs w:val="21"/>
          <w:lang w:val="zh-CN"/>
        </w:rPr>
        <w:t>、研发模式：采取本地团队与国际技术团队协同工作的模式，从产品定义的阶段就着眼于国际领先、行业一流的定位，用国际化标准引领产品研发流程的各个阶段。</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eastAsia="Times New Roman" w:cs="Times New Roman"/>
          <w:kern w:val="0"/>
          <w:sz w:val="21"/>
          <w:szCs w:val="21"/>
          <w:lang w:val="zh-CN"/>
        </w:rPr>
        <w:t>3</w:t>
      </w:r>
      <w:r>
        <w:rPr>
          <w:rFonts w:ascii="宋体" w:hAnsi="宋体" w:hint="eastAsia"/>
          <w:kern w:val="0"/>
          <w:sz w:val="21"/>
          <w:szCs w:val="21"/>
          <w:lang w:val="zh-CN"/>
        </w:rPr>
        <w:t>、生产模式：分为标准化产品生产模式和项目定制化生产模式。</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eastAsia="Times New Roman" w:cs="Times New Roman"/>
          <w:kern w:val="0"/>
          <w:sz w:val="21"/>
          <w:szCs w:val="21"/>
          <w:lang w:val="zh-CN"/>
        </w:rPr>
        <w:t>4</w:t>
      </w:r>
      <w:r>
        <w:rPr>
          <w:rFonts w:ascii="宋体" w:hAnsi="宋体" w:hint="eastAsia"/>
          <w:kern w:val="0"/>
          <w:sz w:val="21"/>
          <w:szCs w:val="21"/>
          <w:lang w:val="zh-CN"/>
        </w:rPr>
        <w:t>、销售模式：公司采用直销为主、分销为辅的方式，向客户提供标准化的海事产品、海洋观探测产品、海洋信息化产品等，并承担产品的安装、调试以及售后服务。同时，公司也根据客户需求，向客户提供定制服务，该类业务主要包括船岸管理系统、岸基对海监控管理系统、近海雷达综合监观测系统等。</w:t>
      </w:r>
    </w:p>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ascii="宋体" w:hAnsi="宋体" w:hint="eastAsia"/>
          <w:b/>
          <w:bCs/>
          <w:kern w:val="0"/>
          <w:sz w:val="21"/>
          <w:szCs w:val="21"/>
          <w:lang w:val="zh-CN"/>
        </w:rPr>
        <w:t>（四）驱动收入变化的因素分析</w:t>
      </w:r>
    </w:p>
    <w:p w:rsidR="00A9288A" w:rsidRDefault="007A4434">
      <w:pPr>
        <w:autoSpaceDE w:val="0"/>
        <w:autoSpaceDN w:val="0"/>
        <w:adjustRightInd w:val="0"/>
        <w:spacing w:before="0" w:after="0"/>
        <w:ind w:firstLine="420"/>
        <w:jc w:val="left"/>
        <w:rPr>
          <w:rFonts w:eastAsia="Times New Roman" w:cs="Times New Roman"/>
          <w:kern w:val="0"/>
          <w:sz w:val="21"/>
          <w:szCs w:val="21"/>
          <w:lang w:val="zh-CN"/>
        </w:rPr>
      </w:pPr>
      <w:r>
        <w:rPr>
          <w:rFonts w:eastAsia="Times New Roman" w:cs="Times New Roman"/>
          <w:kern w:val="0"/>
          <w:sz w:val="21"/>
          <w:szCs w:val="21"/>
          <w:lang w:val="zh-CN"/>
        </w:rPr>
        <w:t>2018</w:t>
      </w:r>
      <w:r>
        <w:rPr>
          <w:rFonts w:ascii="宋体" w:hAnsi="宋体" w:hint="eastAsia"/>
          <w:kern w:val="0"/>
          <w:sz w:val="21"/>
          <w:szCs w:val="21"/>
          <w:lang w:val="zh-CN"/>
        </w:rPr>
        <w:t>上半年公司实现营业收入与去年同期基本持平；实现营业利润</w:t>
      </w:r>
      <w:r>
        <w:rPr>
          <w:rFonts w:eastAsia="Times New Roman" w:cs="Times New Roman"/>
          <w:kern w:val="0"/>
          <w:sz w:val="21"/>
          <w:szCs w:val="21"/>
          <w:lang w:val="zh-CN"/>
        </w:rPr>
        <w:t>82,545,310.68</w:t>
      </w:r>
      <w:r>
        <w:rPr>
          <w:rFonts w:ascii="宋体" w:hAnsi="宋体" w:hint="eastAsia"/>
          <w:kern w:val="0"/>
          <w:sz w:val="21"/>
          <w:szCs w:val="21"/>
          <w:lang w:val="zh-CN"/>
        </w:rPr>
        <w:t>元，比去年同期增长</w:t>
      </w:r>
      <w:r>
        <w:rPr>
          <w:rFonts w:eastAsia="Times New Roman" w:cs="Times New Roman"/>
          <w:kern w:val="0"/>
          <w:sz w:val="21"/>
          <w:szCs w:val="21"/>
          <w:lang w:val="zh-CN"/>
        </w:rPr>
        <w:t>24.78%</w:t>
      </w:r>
      <w:r>
        <w:rPr>
          <w:rFonts w:ascii="宋体" w:hAnsi="宋体" w:hint="eastAsia"/>
          <w:kern w:val="0"/>
          <w:sz w:val="21"/>
          <w:szCs w:val="21"/>
          <w:lang w:val="zh-CN"/>
        </w:rPr>
        <w:t>；归属于上市公司股东的净利润为</w:t>
      </w:r>
      <w:r>
        <w:rPr>
          <w:rFonts w:eastAsia="Times New Roman" w:cs="Times New Roman"/>
          <w:kern w:val="0"/>
          <w:sz w:val="21"/>
          <w:szCs w:val="21"/>
          <w:lang w:val="zh-CN"/>
        </w:rPr>
        <w:t>59,531,272.15</w:t>
      </w:r>
      <w:r>
        <w:rPr>
          <w:rFonts w:ascii="宋体" w:hAnsi="宋体" w:hint="eastAsia"/>
          <w:kern w:val="0"/>
          <w:sz w:val="21"/>
          <w:szCs w:val="21"/>
          <w:lang w:val="zh-CN"/>
        </w:rPr>
        <w:t>元，比去年同期增长</w:t>
      </w:r>
      <w:r>
        <w:rPr>
          <w:rFonts w:eastAsia="Times New Roman" w:cs="Times New Roman"/>
          <w:kern w:val="0"/>
          <w:sz w:val="21"/>
          <w:szCs w:val="21"/>
          <w:lang w:val="zh-CN"/>
        </w:rPr>
        <w:t>23.50%</w:t>
      </w:r>
      <w:r>
        <w:rPr>
          <w:rFonts w:ascii="宋体" w:hAnsi="宋体" w:hint="eastAsia"/>
          <w:kern w:val="0"/>
          <w:sz w:val="21"/>
          <w:szCs w:val="21"/>
          <w:lang w:val="zh-CN"/>
        </w:rPr>
        <w:t>；基本每股收益为</w:t>
      </w:r>
      <w:r>
        <w:rPr>
          <w:rFonts w:eastAsia="Times New Roman" w:cs="Times New Roman"/>
          <w:kern w:val="0"/>
          <w:sz w:val="21"/>
          <w:szCs w:val="21"/>
          <w:lang w:val="zh-CN"/>
        </w:rPr>
        <w:t>0.1645</w:t>
      </w:r>
      <w:r>
        <w:rPr>
          <w:rFonts w:ascii="宋体" w:hAnsi="宋体" w:hint="eastAsia"/>
          <w:kern w:val="0"/>
          <w:sz w:val="21"/>
          <w:szCs w:val="21"/>
          <w:lang w:val="zh-CN"/>
        </w:rPr>
        <w:t>元，比去年同期增长</w:t>
      </w:r>
      <w:r>
        <w:rPr>
          <w:rFonts w:eastAsia="Times New Roman" w:cs="Times New Roman"/>
          <w:kern w:val="0"/>
          <w:sz w:val="21"/>
          <w:szCs w:val="21"/>
          <w:lang w:val="zh-CN"/>
        </w:rPr>
        <w:t>23.68%</w:t>
      </w:r>
      <w:r>
        <w:rPr>
          <w:rFonts w:ascii="宋体" w:hAnsi="宋体" w:hint="eastAsia"/>
          <w:kern w:val="0"/>
          <w:sz w:val="21"/>
          <w:szCs w:val="21"/>
          <w:lang w:val="zh-CN"/>
        </w:rPr>
        <w:t>。</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主要的业绩驱动因素：</w:t>
      </w:r>
      <w:r>
        <w:rPr>
          <w:rFonts w:eastAsia="Times New Roman" w:cs="Times New Roman"/>
          <w:kern w:val="0"/>
          <w:sz w:val="21"/>
          <w:szCs w:val="21"/>
          <w:lang w:val="zh-CN"/>
        </w:rPr>
        <w:t>1</w:t>
      </w:r>
      <w:r>
        <w:rPr>
          <w:rFonts w:ascii="宋体" w:hAnsi="宋体" w:hint="eastAsia"/>
          <w:kern w:val="0"/>
          <w:sz w:val="21"/>
          <w:szCs w:val="21"/>
          <w:lang w:val="zh-CN"/>
        </w:rPr>
        <w:t>、公司积极开拓海洋观监测业务，受益于近海雷达网的加速推动公司以极小目标雷达技术为核心的近海雷达综合观监测系统继续保持稳定增长；</w:t>
      </w:r>
      <w:r>
        <w:rPr>
          <w:rFonts w:eastAsia="Times New Roman" w:cs="Times New Roman"/>
          <w:kern w:val="0"/>
          <w:sz w:val="21"/>
          <w:szCs w:val="21"/>
          <w:lang w:val="zh-CN"/>
        </w:rPr>
        <w:t>2</w:t>
      </w:r>
      <w:r>
        <w:rPr>
          <w:rFonts w:ascii="宋体" w:hAnsi="宋体" w:hint="eastAsia"/>
          <w:kern w:val="0"/>
          <w:sz w:val="21"/>
          <w:szCs w:val="21"/>
          <w:lang w:val="zh-CN"/>
        </w:rPr>
        <w:t>、子公司海洋业务持续贡献利润；</w:t>
      </w:r>
      <w:r>
        <w:rPr>
          <w:rFonts w:eastAsia="Times New Roman" w:cs="Times New Roman"/>
          <w:kern w:val="0"/>
          <w:sz w:val="21"/>
          <w:szCs w:val="21"/>
          <w:lang w:val="zh-CN"/>
        </w:rPr>
        <w:t>3</w:t>
      </w:r>
      <w:r>
        <w:rPr>
          <w:rFonts w:ascii="宋体" w:hAnsi="宋体" w:hint="eastAsia"/>
          <w:kern w:val="0"/>
          <w:sz w:val="21"/>
          <w:szCs w:val="21"/>
          <w:lang w:val="zh-CN"/>
        </w:rPr>
        <w:t>、因海兰劳雷重组目前正在根据证监会要求更新最新一期的财务数据，未能在本报告期完成剩余少数股权的收购，对归属于上市公司股东的净利润有一定程度的影响。</w:t>
      </w:r>
    </w:p>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ascii="宋体" w:hAnsi="宋体" w:hint="eastAsia"/>
          <w:b/>
          <w:bCs/>
          <w:kern w:val="0"/>
          <w:sz w:val="21"/>
          <w:szCs w:val="21"/>
          <w:lang w:val="zh-CN"/>
        </w:rPr>
        <w:t>（五）主要业务领域的行业情况</w:t>
      </w:r>
    </w:p>
    <w:p w:rsidR="00A9288A" w:rsidRDefault="007A4434">
      <w:pPr>
        <w:autoSpaceDE w:val="0"/>
        <w:autoSpaceDN w:val="0"/>
        <w:adjustRightInd w:val="0"/>
        <w:spacing w:before="0" w:after="0"/>
        <w:ind w:firstLine="422"/>
        <w:jc w:val="left"/>
        <w:rPr>
          <w:rFonts w:eastAsia="Times New Roman" w:cs="Times New Roman"/>
          <w:kern w:val="0"/>
          <w:sz w:val="21"/>
          <w:szCs w:val="21"/>
          <w:lang w:val="zh-CN"/>
        </w:rPr>
      </w:pPr>
      <w:r>
        <w:rPr>
          <w:rFonts w:eastAsia="Times New Roman" w:cs="Times New Roman"/>
          <w:b/>
          <w:bCs/>
          <w:kern w:val="0"/>
          <w:sz w:val="21"/>
          <w:szCs w:val="21"/>
          <w:lang w:val="zh-CN"/>
        </w:rPr>
        <w:t>1</w:t>
      </w:r>
      <w:r>
        <w:rPr>
          <w:rFonts w:ascii="宋体" w:hAnsi="宋体" w:hint="eastAsia"/>
          <w:b/>
          <w:bCs/>
          <w:kern w:val="0"/>
          <w:sz w:val="21"/>
          <w:szCs w:val="21"/>
          <w:lang w:val="zh-CN"/>
        </w:rPr>
        <w:t>、智能航海领域</w:t>
      </w:r>
    </w:p>
    <w:p w:rsidR="00A9288A" w:rsidRDefault="007A4434">
      <w:pPr>
        <w:autoSpaceDE w:val="0"/>
        <w:autoSpaceDN w:val="0"/>
        <w:adjustRightInd w:val="0"/>
        <w:spacing w:before="0" w:after="0"/>
        <w:ind w:firstLine="422"/>
        <w:jc w:val="left"/>
        <w:rPr>
          <w:rFonts w:eastAsia="Times New Roman" w:cs="Times New Roman"/>
          <w:kern w:val="0"/>
          <w:sz w:val="21"/>
          <w:szCs w:val="21"/>
          <w:lang w:val="zh-CN"/>
        </w:rPr>
      </w:pPr>
      <w:r>
        <w:rPr>
          <w:rFonts w:eastAsia="Times New Roman" w:cs="Times New Roman"/>
          <w:b/>
          <w:bCs/>
          <w:kern w:val="0"/>
          <w:sz w:val="21"/>
          <w:szCs w:val="21"/>
          <w:lang w:val="zh-CN"/>
        </w:rPr>
        <w:t>1</w:t>
      </w:r>
      <w:r>
        <w:rPr>
          <w:rFonts w:ascii="宋体" w:hAnsi="宋体" w:hint="eastAsia"/>
          <w:b/>
          <w:bCs/>
          <w:kern w:val="0"/>
          <w:sz w:val="21"/>
          <w:szCs w:val="21"/>
          <w:lang w:val="zh-CN"/>
        </w:rPr>
        <w:t>）航运市场稳中向好</w:t>
      </w:r>
    </w:p>
    <w:p w:rsidR="00A9288A" w:rsidRDefault="007A4434">
      <w:pPr>
        <w:autoSpaceDE w:val="0"/>
        <w:autoSpaceDN w:val="0"/>
        <w:adjustRightInd w:val="0"/>
        <w:spacing w:before="0" w:after="0"/>
        <w:ind w:firstLine="420"/>
        <w:jc w:val="left"/>
        <w:rPr>
          <w:rFonts w:eastAsia="Times New Roman" w:cs="Times New Roman"/>
          <w:kern w:val="0"/>
          <w:sz w:val="21"/>
          <w:szCs w:val="21"/>
          <w:lang w:val="zh-CN"/>
        </w:rPr>
      </w:pPr>
      <w:r>
        <w:rPr>
          <w:rFonts w:eastAsia="Times New Roman" w:cs="Times New Roman"/>
          <w:kern w:val="0"/>
          <w:sz w:val="21"/>
          <w:szCs w:val="21"/>
          <w:lang w:val="zh-CN"/>
        </w:rPr>
        <w:t>2017</w:t>
      </w:r>
      <w:r>
        <w:rPr>
          <w:rFonts w:ascii="宋体" w:hAnsi="宋体" w:hint="eastAsia"/>
          <w:kern w:val="0"/>
          <w:sz w:val="21"/>
          <w:szCs w:val="21"/>
          <w:lang w:val="zh-CN"/>
        </w:rPr>
        <w:t>年，国际航运市场触底反弹，新船市场保持活跃。我国船企紧抓市场回暖的有利时机，积极开拓市场。</w:t>
      </w:r>
      <w:r>
        <w:rPr>
          <w:rFonts w:eastAsia="Times New Roman" w:cs="Times New Roman"/>
          <w:kern w:val="0"/>
          <w:sz w:val="21"/>
          <w:szCs w:val="21"/>
          <w:lang w:val="zh-CN"/>
        </w:rPr>
        <w:t>2017</w:t>
      </w:r>
      <w:r>
        <w:rPr>
          <w:rFonts w:ascii="宋体" w:hAnsi="宋体" w:hint="eastAsia"/>
          <w:kern w:val="0"/>
          <w:sz w:val="21"/>
          <w:szCs w:val="21"/>
          <w:lang w:val="zh-CN"/>
        </w:rPr>
        <w:t>年我国造船完工量、新接订单量、手持订单量分别占全球总量的</w:t>
      </w:r>
      <w:r>
        <w:rPr>
          <w:rFonts w:eastAsia="Times New Roman" w:cs="Times New Roman"/>
          <w:kern w:val="0"/>
          <w:sz w:val="21"/>
          <w:szCs w:val="21"/>
          <w:lang w:val="zh-CN"/>
        </w:rPr>
        <w:t>39.1%</w:t>
      </w:r>
      <w:r>
        <w:rPr>
          <w:rFonts w:ascii="宋体" w:hAnsi="宋体" w:hint="eastAsia"/>
          <w:kern w:val="0"/>
          <w:sz w:val="21"/>
          <w:szCs w:val="21"/>
          <w:lang w:val="zh-CN"/>
        </w:rPr>
        <w:t>、</w:t>
      </w:r>
      <w:r>
        <w:rPr>
          <w:rFonts w:eastAsia="Times New Roman" w:cs="Times New Roman"/>
          <w:kern w:val="0"/>
          <w:sz w:val="21"/>
          <w:szCs w:val="21"/>
          <w:lang w:val="zh-CN"/>
        </w:rPr>
        <w:t>44.4%</w:t>
      </w:r>
      <w:r>
        <w:rPr>
          <w:rFonts w:ascii="宋体" w:hAnsi="宋体" w:hint="eastAsia"/>
          <w:kern w:val="0"/>
          <w:sz w:val="21"/>
          <w:szCs w:val="21"/>
          <w:lang w:val="zh-CN"/>
        </w:rPr>
        <w:t>和</w:t>
      </w:r>
      <w:r>
        <w:rPr>
          <w:rFonts w:eastAsia="Times New Roman" w:cs="Times New Roman"/>
          <w:kern w:val="0"/>
          <w:sz w:val="21"/>
          <w:szCs w:val="21"/>
          <w:lang w:val="zh-CN"/>
        </w:rPr>
        <w:t>44.8%</w:t>
      </w:r>
      <w:r>
        <w:rPr>
          <w:rFonts w:ascii="宋体" w:hAnsi="宋体" w:hint="eastAsia"/>
          <w:kern w:val="0"/>
          <w:sz w:val="21"/>
          <w:szCs w:val="21"/>
          <w:lang w:val="zh-CN"/>
        </w:rPr>
        <w:t>，造船三大指标国际市场份额均位居世界第一。</w:t>
      </w:r>
      <w:r>
        <w:rPr>
          <w:rFonts w:eastAsia="Times New Roman" w:cs="Times New Roman"/>
          <w:kern w:val="0"/>
          <w:sz w:val="21"/>
          <w:szCs w:val="21"/>
          <w:lang w:val="zh-CN"/>
        </w:rPr>
        <w:t>2018</w:t>
      </w:r>
      <w:r>
        <w:rPr>
          <w:rFonts w:ascii="宋体" w:hAnsi="宋体" w:hint="eastAsia"/>
          <w:kern w:val="0"/>
          <w:sz w:val="21"/>
          <w:szCs w:val="21"/>
          <w:lang w:val="zh-CN"/>
        </w:rPr>
        <w:t>年，全球经济发展将趋于稳健，航运市场有望稳中向好。国际海运需求略有增长，老旧船舶不断淘汰，过剩运力将进一步消化和吸收，新船市场有望继续保持活跃。预计</w:t>
      </w:r>
      <w:r>
        <w:rPr>
          <w:rFonts w:eastAsia="Times New Roman" w:cs="Times New Roman"/>
          <w:kern w:val="0"/>
          <w:sz w:val="21"/>
          <w:szCs w:val="21"/>
          <w:lang w:val="zh-CN"/>
        </w:rPr>
        <w:t>2018</w:t>
      </w:r>
      <w:r>
        <w:rPr>
          <w:rFonts w:ascii="宋体" w:hAnsi="宋体" w:hint="eastAsia"/>
          <w:kern w:val="0"/>
          <w:sz w:val="21"/>
          <w:szCs w:val="21"/>
          <w:lang w:val="zh-CN"/>
        </w:rPr>
        <w:t>年全球新船成交量在</w:t>
      </w:r>
      <w:r>
        <w:rPr>
          <w:rFonts w:eastAsia="Times New Roman" w:cs="Times New Roman"/>
          <w:kern w:val="0"/>
          <w:sz w:val="21"/>
          <w:szCs w:val="21"/>
          <w:lang w:val="zh-CN"/>
        </w:rPr>
        <w:t>7000</w:t>
      </w:r>
      <w:r>
        <w:rPr>
          <w:rFonts w:ascii="宋体" w:hAnsi="宋体" w:hint="eastAsia"/>
          <w:kern w:val="0"/>
          <w:sz w:val="21"/>
          <w:szCs w:val="21"/>
          <w:lang w:val="zh-CN"/>
        </w:rPr>
        <w:t>万～</w:t>
      </w:r>
      <w:r>
        <w:rPr>
          <w:rFonts w:eastAsia="Times New Roman" w:cs="Times New Roman"/>
          <w:kern w:val="0"/>
          <w:sz w:val="21"/>
          <w:szCs w:val="21"/>
          <w:lang w:val="zh-CN"/>
        </w:rPr>
        <w:t>7500</w:t>
      </w:r>
      <w:r>
        <w:rPr>
          <w:rFonts w:ascii="宋体" w:hAnsi="宋体" w:hint="eastAsia"/>
          <w:kern w:val="0"/>
          <w:sz w:val="21"/>
          <w:szCs w:val="21"/>
          <w:lang w:val="zh-CN"/>
        </w:rPr>
        <w:t>万载重吨，海洋工程装备成交量约</w:t>
      </w:r>
      <w:r>
        <w:rPr>
          <w:rFonts w:eastAsia="Times New Roman" w:cs="Times New Roman"/>
          <w:kern w:val="0"/>
          <w:sz w:val="21"/>
          <w:szCs w:val="21"/>
          <w:lang w:val="zh-CN"/>
        </w:rPr>
        <w:t>130</w:t>
      </w:r>
      <w:r>
        <w:rPr>
          <w:rFonts w:ascii="宋体" w:hAnsi="宋体" w:hint="eastAsia"/>
          <w:kern w:val="0"/>
          <w:sz w:val="21"/>
          <w:szCs w:val="21"/>
          <w:lang w:val="zh-CN"/>
        </w:rPr>
        <w:t>亿美元，新船价格有小幅上涨的可能。大型船舶成交量将在</w:t>
      </w:r>
      <w:r>
        <w:rPr>
          <w:rFonts w:eastAsia="Times New Roman" w:cs="Times New Roman"/>
          <w:kern w:val="0"/>
          <w:sz w:val="21"/>
          <w:szCs w:val="21"/>
          <w:lang w:val="zh-CN"/>
        </w:rPr>
        <w:t>2018</w:t>
      </w:r>
      <w:r>
        <w:rPr>
          <w:rFonts w:ascii="宋体" w:hAnsi="宋体" w:hint="eastAsia"/>
          <w:kern w:val="0"/>
          <w:sz w:val="21"/>
          <w:szCs w:val="21"/>
          <w:lang w:val="zh-CN"/>
        </w:rPr>
        <w:t>年有所回落，部分中小型船舶成交将会活跃，豪华邮轮、汽车运输船、客滚船等少数特种船市场仍然值得关注。随着运力供需关系的不断改善，国际航运市场有望实现缓步上行，船东的行业信心将显著提升，加之低船价以及压载水公约和全球硫限制等环保规定的即将执行，进一步助力船东下单和接船。</w:t>
      </w:r>
    </w:p>
    <w:p w:rsidR="00A9288A" w:rsidRDefault="007A4434">
      <w:pPr>
        <w:autoSpaceDE w:val="0"/>
        <w:autoSpaceDN w:val="0"/>
        <w:adjustRightInd w:val="0"/>
        <w:spacing w:before="0" w:after="0"/>
        <w:ind w:firstLine="422"/>
        <w:jc w:val="left"/>
        <w:rPr>
          <w:rFonts w:eastAsia="Times New Roman" w:cs="Times New Roman"/>
          <w:b/>
          <w:bCs/>
          <w:kern w:val="0"/>
          <w:sz w:val="21"/>
          <w:szCs w:val="21"/>
          <w:lang w:val="zh-CN"/>
        </w:rPr>
      </w:pPr>
      <w:r>
        <w:rPr>
          <w:rFonts w:eastAsia="Times New Roman" w:cs="Times New Roman"/>
          <w:b/>
          <w:bCs/>
          <w:kern w:val="0"/>
          <w:sz w:val="21"/>
          <w:szCs w:val="21"/>
          <w:lang w:val="zh-CN"/>
        </w:rPr>
        <w:t>2</w:t>
      </w:r>
      <w:r>
        <w:rPr>
          <w:rFonts w:ascii="宋体" w:hAnsi="宋体" w:hint="eastAsia"/>
          <w:b/>
          <w:bCs/>
          <w:kern w:val="0"/>
          <w:sz w:val="21"/>
          <w:szCs w:val="21"/>
          <w:lang w:val="zh-CN"/>
        </w:rPr>
        <w:t>）智能船舶大势所趋</w:t>
      </w:r>
    </w:p>
    <w:p w:rsidR="00A9288A" w:rsidRDefault="007A4434">
      <w:pPr>
        <w:autoSpaceDE w:val="0"/>
        <w:autoSpaceDN w:val="0"/>
        <w:adjustRightInd w:val="0"/>
        <w:spacing w:before="0" w:after="0"/>
        <w:ind w:firstLine="420"/>
        <w:jc w:val="left"/>
        <w:rPr>
          <w:rFonts w:eastAsia="Times New Roman" w:cs="Times New Roman"/>
          <w:kern w:val="0"/>
          <w:sz w:val="21"/>
          <w:szCs w:val="21"/>
          <w:lang w:val="zh-CN"/>
        </w:rPr>
      </w:pPr>
      <w:r>
        <w:rPr>
          <w:rFonts w:ascii="宋体" w:hAnsi="宋体" w:hint="eastAsia"/>
          <w:kern w:val="0"/>
          <w:sz w:val="21"/>
          <w:szCs w:val="21"/>
          <w:lang w:val="zh-CN"/>
        </w:rPr>
        <w:t>中国各级政府先后出台多项文件，大力鼓励智能船舶建设，智能船舶为大势所趋。</w:t>
      </w:r>
    </w:p>
    <w:tbl>
      <w:tblPr>
        <w:tblW w:w="0" w:type="auto"/>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10" w:type="dxa"/>
          <w:left w:w="10" w:type="dxa"/>
          <w:bottom w:w="10" w:type="dxa"/>
          <w:right w:w="10" w:type="dxa"/>
        </w:tblCellMar>
        <w:tblLook w:val="0000" w:firstRow="0" w:lastRow="0" w:firstColumn="0" w:lastColumn="0" w:noHBand="0" w:noVBand="0"/>
      </w:tblPr>
      <w:tblGrid>
        <w:gridCol w:w="1303"/>
        <w:gridCol w:w="1318"/>
        <w:gridCol w:w="1868"/>
        <w:gridCol w:w="5365"/>
      </w:tblGrid>
      <w:tr w:rsidR="00A9288A">
        <w:tc>
          <w:tcPr>
            <w:tcW w:w="1303" w:type="dxa"/>
            <w:shd w:val="clear" w:color="auto" w:fill="4F81BD"/>
          </w:tcPr>
          <w:p w:rsidR="00A9288A" w:rsidRDefault="007A4434">
            <w:pPr>
              <w:autoSpaceDE w:val="0"/>
              <w:autoSpaceDN w:val="0"/>
              <w:adjustRightInd w:val="0"/>
              <w:spacing w:before="0" w:after="0"/>
              <w:ind w:firstLine="422"/>
              <w:jc w:val="center"/>
              <w:rPr>
                <w:rFonts w:eastAsia="Times New Roman" w:cs="Times New Roman"/>
                <w:b/>
                <w:bCs/>
                <w:kern w:val="0"/>
                <w:sz w:val="21"/>
                <w:szCs w:val="21"/>
                <w:lang w:val="zh-CN"/>
              </w:rPr>
            </w:pPr>
            <w:r>
              <w:rPr>
                <w:rFonts w:ascii="宋体" w:hAnsi="宋体" w:hint="eastAsia"/>
                <w:b/>
                <w:bCs/>
                <w:kern w:val="0"/>
                <w:sz w:val="21"/>
                <w:szCs w:val="21"/>
                <w:lang w:val="zh-CN"/>
              </w:rPr>
              <w:t>时间</w:t>
            </w:r>
          </w:p>
        </w:tc>
        <w:tc>
          <w:tcPr>
            <w:tcW w:w="1318" w:type="dxa"/>
            <w:shd w:val="clear" w:color="auto" w:fill="4F81BD"/>
          </w:tcPr>
          <w:p w:rsidR="00A9288A" w:rsidRDefault="007A4434">
            <w:pPr>
              <w:autoSpaceDE w:val="0"/>
              <w:autoSpaceDN w:val="0"/>
              <w:adjustRightInd w:val="0"/>
              <w:spacing w:before="0" w:after="0"/>
              <w:ind w:firstLine="422"/>
              <w:jc w:val="center"/>
              <w:rPr>
                <w:rFonts w:eastAsia="Times New Roman" w:cs="Times New Roman"/>
                <w:b/>
                <w:bCs/>
                <w:kern w:val="0"/>
                <w:sz w:val="21"/>
                <w:szCs w:val="21"/>
                <w:lang w:val="zh-CN"/>
              </w:rPr>
            </w:pPr>
            <w:r>
              <w:rPr>
                <w:rFonts w:ascii="宋体" w:hAnsi="宋体" w:hint="eastAsia"/>
                <w:b/>
                <w:bCs/>
                <w:kern w:val="0"/>
                <w:sz w:val="21"/>
                <w:szCs w:val="21"/>
                <w:lang w:val="zh-CN"/>
              </w:rPr>
              <w:t>发布机构</w:t>
            </w:r>
          </w:p>
        </w:tc>
        <w:tc>
          <w:tcPr>
            <w:tcW w:w="1868" w:type="dxa"/>
            <w:shd w:val="clear" w:color="auto" w:fill="4F81BD"/>
          </w:tcPr>
          <w:p w:rsidR="00A9288A" w:rsidRDefault="007A4434">
            <w:pPr>
              <w:autoSpaceDE w:val="0"/>
              <w:autoSpaceDN w:val="0"/>
              <w:adjustRightInd w:val="0"/>
              <w:spacing w:before="0" w:after="0"/>
              <w:ind w:firstLine="422"/>
              <w:jc w:val="center"/>
              <w:rPr>
                <w:rFonts w:eastAsia="Times New Roman" w:cs="Times New Roman"/>
                <w:b/>
                <w:bCs/>
                <w:kern w:val="0"/>
                <w:sz w:val="21"/>
                <w:szCs w:val="21"/>
                <w:lang w:val="zh-CN"/>
              </w:rPr>
            </w:pPr>
            <w:r>
              <w:rPr>
                <w:rFonts w:ascii="宋体" w:hAnsi="宋体" w:hint="eastAsia"/>
                <w:b/>
                <w:bCs/>
                <w:kern w:val="0"/>
                <w:sz w:val="21"/>
                <w:szCs w:val="21"/>
                <w:lang w:val="zh-CN"/>
              </w:rPr>
              <w:t>文件</w:t>
            </w:r>
          </w:p>
        </w:tc>
        <w:tc>
          <w:tcPr>
            <w:tcW w:w="5365" w:type="dxa"/>
            <w:shd w:val="clear" w:color="auto" w:fill="4F81BD"/>
          </w:tcPr>
          <w:p w:rsidR="00A9288A" w:rsidRDefault="007A4434">
            <w:pPr>
              <w:autoSpaceDE w:val="0"/>
              <w:autoSpaceDN w:val="0"/>
              <w:adjustRightInd w:val="0"/>
              <w:spacing w:before="0" w:after="0"/>
              <w:ind w:firstLine="422"/>
              <w:jc w:val="center"/>
              <w:rPr>
                <w:rFonts w:eastAsia="Times New Roman" w:cs="Times New Roman"/>
                <w:b/>
                <w:bCs/>
                <w:kern w:val="0"/>
                <w:sz w:val="21"/>
                <w:szCs w:val="21"/>
                <w:lang w:val="zh-CN"/>
              </w:rPr>
            </w:pPr>
            <w:r>
              <w:rPr>
                <w:rFonts w:ascii="宋体" w:hAnsi="宋体" w:hint="eastAsia"/>
                <w:b/>
                <w:bCs/>
                <w:kern w:val="0"/>
                <w:sz w:val="21"/>
                <w:szCs w:val="21"/>
                <w:lang w:val="zh-CN"/>
              </w:rPr>
              <w:t>主要内容</w:t>
            </w:r>
          </w:p>
        </w:tc>
      </w:tr>
      <w:tr w:rsidR="00A9288A">
        <w:tc>
          <w:tcPr>
            <w:tcW w:w="1303" w:type="dxa"/>
            <w:shd w:val="clear" w:color="auto" w:fill="B8CCE4"/>
          </w:tcPr>
          <w:p w:rsidR="00A9288A" w:rsidRDefault="007A4434">
            <w:pPr>
              <w:autoSpaceDE w:val="0"/>
              <w:autoSpaceDN w:val="0"/>
              <w:adjustRightInd w:val="0"/>
              <w:spacing w:before="0" w:after="0"/>
              <w:rPr>
                <w:rFonts w:eastAsia="Times New Roman" w:cs="Times New Roman"/>
                <w:kern w:val="0"/>
                <w:sz w:val="21"/>
                <w:szCs w:val="21"/>
                <w:lang w:val="zh-CN"/>
              </w:rPr>
            </w:pPr>
            <w:r>
              <w:rPr>
                <w:rFonts w:eastAsia="Times New Roman" w:cs="Times New Roman"/>
                <w:kern w:val="0"/>
                <w:sz w:val="21"/>
                <w:szCs w:val="21"/>
                <w:lang w:val="zh-CN"/>
              </w:rPr>
              <w:t>2018</w:t>
            </w:r>
            <w:r>
              <w:rPr>
                <w:rFonts w:ascii="宋体" w:hAnsi="宋体" w:hint="eastAsia"/>
                <w:kern w:val="0"/>
                <w:sz w:val="21"/>
                <w:szCs w:val="21"/>
                <w:lang w:val="zh-CN"/>
              </w:rPr>
              <w:t>年</w:t>
            </w:r>
            <w:r>
              <w:rPr>
                <w:rFonts w:eastAsia="Times New Roman" w:cs="Times New Roman"/>
                <w:kern w:val="0"/>
                <w:sz w:val="21"/>
                <w:szCs w:val="21"/>
                <w:lang w:val="zh-CN"/>
              </w:rPr>
              <w:t>1</w:t>
            </w:r>
            <w:r>
              <w:rPr>
                <w:rFonts w:ascii="宋体" w:hAnsi="宋体" w:hint="eastAsia"/>
                <w:kern w:val="0"/>
                <w:sz w:val="21"/>
                <w:szCs w:val="21"/>
                <w:lang w:val="zh-CN"/>
              </w:rPr>
              <w:t>月</w:t>
            </w:r>
          </w:p>
        </w:tc>
        <w:tc>
          <w:tcPr>
            <w:tcW w:w="1318" w:type="dxa"/>
            <w:shd w:val="clear" w:color="auto" w:fill="B8CCE4"/>
          </w:tcPr>
          <w:p w:rsidR="00A9288A" w:rsidRDefault="007A4434">
            <w:pPr>
              <w:autoSpaceDE w:val="0"/>
              <w:autoSpaceDN w:val="0"/>
              <w:adjustRightInd w:val="0"/>
              <w:spacing w:before="0" w:after="0"/>
              <w:rPr>
                <w:rFonts w:eastAsia="Times New Roman" w:cs="Times New Roman"/>
                <w:kern w:val="0"/>
                <w:sz w:val="21"/>
                <w:szCs w:val="21"/>
                <w:lang w:val="zh-CN"/>
              </w:rPr>
            </w:pPr>
            <w:r>
              <w:rPr>
                <w:rFonts w:ascii="宋体" w:hAnsi="宋体" w:hint="eastAsia"/>
                <w:kern w:val="0"/>
                <w:sz w:val="21"/>
                <w:szCs w:val="21"/>
                <w:lang w:val="zh-CN"/>
              </w:rPr>
              <w:t>工业和信息化部等八部委</w:t>
            </w:r>
          </w:p>
        </w:tc>
        <w:tc>
          <w:tcPr>
            <w:tcW w:w="1868" w:type="dxa"/>
            <w:shd w:val="clear" w:color="auto" w:fill="B8CCE4"/>
          </w:tcPr>
          <w:p w:rsidR="00A9288A" w:rsidRDefault="007A4434">
            <w:pPr>
              <w:autoSpaceDE w:val="0"/>
              <w:autoSpaceDN w:val="0"/>
              <w:adjustRightInd w:val="0"/>
              <w:spacing w:before="0" w:after="0"/>
              <w:rPr>
                <w:rFonts w:eastAsia="Times New Roman" w:cs="Times New Roman"/>
                <w:kern w:val="0"/>
                <w:sz w:val="21"/>
                <w:szCs w:val="21"/>
                <w:lang w:val="zh-CN"/>
              </w:rPr>
            </w:pPr>
            <w:r>
              <w:rPr>
                <w:rFonts w:ascii="宋体" w:hAnsi="宋体" w:hint="eastAsia"/>
                <w:kern w:val="0"/>
                <w:sz w:val="21"/>
                <w:szCs w:val="21"/>
                <w:lang w:val="zh-CN"/>
              </w:rPr>
              <w:t>《海洋工程装备制造业持续健康发展行动计划</w:t>
            </w:r>
            <w:r>
              <w:rPr>
                <w:rFonts w:eastAsia="Times New Roman" w:cs="Times New Roman"/>
                <w:kern w:val="0"/>
                <w:sz w:val="21"/>
                <w:szCs w:val="21"/>
                <w:lang w:val="zh-CN"/>
              </w:rPr>
              <w:t xml:space="preserve">(2017-2020 </w:t>
            </w:r>
            <w:r>
              <w:rPr>
                <w:rFonts w:ascii="宋体" w:hAnsi="宋体" w:hint="eastAsia"/>
                <w:kern w:val="0"/>
                <w:sz w:val="21"/>
                <w:szCs w:val="21"/>
                <w:lang w:val="zh-CN"/>
              </w:rPr>
              <w:t>年</w:t>
            </w:r>
            <w:r>
              <w:rPr>
                <w:rFonts w:eastAsia="Times New Roman" w:cs="Times New Roman"/>
                <w:kern w:val="0"/>
                <w:sz w:val="21"/>
                <w:szCs w:val="21"/>
                <w:lang w:val="zh-CN"/>
              </w:rPr>
              <w:t>)</w:t>
            </w:r>
            <w:r>
              <w:rPr>
                <w:rFonts w:ascii="宋体" w:hAnsi="宋体" w:hint="eastAsia"/>
                <w:kern w:val="0"/>
                <w:sz w:val="21"/>
                <w:szCs w:val="21"/>
                <w:lang w:val="zh-CN"/>
              </w:rPr>
              <w:t>》</w:t>
            </w:r>
          </w:p>
        </w:tc>
        <w:tc>
          <w:tcPr>
            <w:tcW w:w="5365" w:type="dxa"/>
            <w:shd w:val="clear" w:color="auto" w:fill="B8CCE4"/>
          </w:tcPr>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到</w:t>
            </w:r>
            <w:r>
              <w:rPr>
                <w:rFonts w:eastAsia="Times New Roman" w:cs="Times New Roman"/>
                <w:kern w:val="0"/>
                <w:sz w:val="21"/>
                <w:szCs w:val="21"/>
                <w:lang w:val="zh-CN"/>
              </w:rPr>
              <w:t xml:space="preserve"> 2020 </w:t>
            </w:r>
            <w:r>
              <w:rPr>
                <w:rFonts w:ascii="宋体" w:hAnsi="宋体" w:hint="eastAsia"/>
                <w:kern w:val="0"/>
                <w:sz w:val="21"/>
                <w:szCs w:val="21"/>
                <w:lang w:val="zh-CN"/>
              </w:rPr>
              <w:t>年，我国海洋工程装备制造业国际竞争力和持续发展能力明显提升，产业体系进一步完善，</w:t>
            </w:r>
            <w:r>
              <w:rPr>
                <w:rFonts w:ascii="宋体" w:hAnsi="宋体" w:hint="eastAsia"/>
                <w:b/>
                <w:bCs/>
                <w:kern w:val="0"/>
                <w:sz w:val="21"/>
                <w:szCs w:val="21"/>
                <w:lang w:val="zh-CN"/>
              </w:rPr>
              <w:t>专用化、系列化、信息化、智能化</w:t>
            </w:r>
            <w:r>
              <w:rPr>
                <w:rFonts w:ascii="宋体" w:hAnsi="宋体" w:hint="eastAsia"/>
                <w:kern w:val="0"/>
                <w:sz w:val="21"/>
                <w:szCs w:val="21"/>
                <w:lang w:val="zh-CN"/>
              </w:rPr>
              <w:t>程度不断加强，产品结构迈向中高端，力争步入海洋工程装备总装制造先进国家行列。</w:t>
            </w:r>
          </w:p>
        </w:tc>
      </w:tr>
      <w:tr w:rsidR="00A9288A">
        <w:tc>
          <w:tcPr>
            <w:tcW w:w="1303" w:type="dxa"/>
            <w:shd w:val="clear" w:color="auto" w:fill="FFFFFF"/>
          </w:tcPr>
          <w:p w:rsidR="00A9288A" w:rsidRDefault="007A4434">
            <w:pPr>
              <w:autoSpaceDE w:val="0"/>
              <w:autoSpaceDN w:val="0"/>
              <w:adjustRightInd w:val="0"/>
              <w:spacing w:before="0" w:after="0"/>
              <w:rPr>
                <w:rFonts w:eastAsia="Times New Roman" w:cs="Times New Roman"/>
                <w:kern w:val="0"/>
                <w:sz w:val="21"/>
                <w:szCs w:val="21"/>
                <w:lang w:val="zh-CN"/>
              </w:rPr>
            </w:pPr>
            <w:r>
              <w:rPr>
                <w:rFonts w:eastAsia="Times New Roman" w:cs="Times New Roman"/>
                <w:kern w:val="0"/>
                <w:sz w:val="21"/>
                <w:szCs w:val="21"/>
                <w:lang w:val="zh-CN"/>
              </w:rPr>
              <w:lastRenderedPageBreak/>
              <w:t>2016</w:t>
            </w:r>
            <w:r>
              <w:rPr>
                <w:rFonts w:ascii="宋体" w:hAnsi="宋体" w:hint="eastAsia"/>
                <w:kern w:val="0"/>
                <w:sz w:val="21"/>
                <w:szCs w:val="21"/>
                <w:lang w:val="zh-CN"/>
              </w:rPr>
              <w:t>年</w:t>
            </w:r>
            <w:r>
              <w:rPr>
                <w:rFonts w:eastAsia="Times New Roman" w:cs="Times New Roman"/>
                <w:kern w:val="0"/>
                <w:sz w:val="21"/>
                <w:szCs w:val="21"/>
                <w:lang w:val="zh-CN"/>
              </w:rPr>
              <w:t>3</w:t>
            </w:r>
            <w:r>
              <w:rPr>
                <w:rFonts w:ascii="宋体" w:hAnsi="宋体" w:hint="eastAsia"/>
                <w:kern w:val="0"/>
                <w:sz w:val="21"/>
                <w:szCs w:val="21"/>
                <w:lang w:val="zh-CN"/>
              </w:rPr>
              <w:t>月</w:t>
            </w:r>
          </w:p>
        </w:tc>
        <w:tc>
          <w:tcPr>
            <w:tcW w:w="1318" w:type="dxa"/>
            <w:shd w:val="clear" w:color="auto" w:fill="FFFFFF"/>
          </w:tcPr>
          <w:p w:rsidR="00A9288A" w:rsidRDefault="007A4434">
            <w:pPr>
              <w:autoSpaceDE w:val="0"/>
              <w:autoSpaceDN w:val="0"/>
              <w:adjustRightInd w:val="0"/>
              <w:spacing w:before="0" w:after="0"/>
              <w:rPr>
                <w:rFonts w:eastAsia="Times New Roman" w:cs="Times New Roman"/>
                <w:kern w:val="0"/>
                <w:sz w:val="21"/>
                <w:szCs w:val="21"/>
                <w:lang w:val="zh-CN"/>
              </w:rPr>
            </w:pPr>
            <w:r>
              <w:rPr>
                <w:rFonts w:ascii="宋体" w:hAnsi="宋体" w:hint="eastAsia"/>
                <w:kern w:val="0"/>
                <w:sz w:val="21"/>
                <w:szCs w:val="21"/>
                <w:lang w:val="zh-CN"/>
              </w:rPr>
              <w:t>工业和信息化部</w:t>
            </w:r>
          </w:p>
        </w:tc>
        <w:tc>
          <w:tcPr>
            <w:tcW w:w="1868" w:type="dxa"/>
            <w:shd w:val="clear" w:color="auto" w:fill="FFFFFF"/>
          </w:tcPr>
          <w:p w:rsidR="00A9288A" w:rsidRDefault="007A4434">
            <w:pPr>
              <w:autoSpaceDE w:val="0"/>
              <w:autoSpaceDN w:val="0"/>
              <w:adjustRightInd w:val="0"/>
              <w:spacing w:before="0" w:after="0"/>
              <w:rPr>
                <w:rFonts w:eastAsia="Times New Roman" w:cs="Times New Roman"/>
                <w:kern w:val="0"/>
                <w:sz w:val="21"/>
                <w:szCs w:val="21"/>
                <w:lang w:val="zh-CN"/>
              </w:rPr>
            </w:pPr>
            <w:r>
              <w:rPr>
                <w:rFonts w:ascii="宋体" w:hAnsi="宋体" w:hint="eastAsia"/>
                <w:kern w:val="0"/>
                <w:sz w:val="21"/>
                <w:szCs w:val="21"/>
                <w:lang w:val="zh-CN"/>
              </w:rPr>
              <w:t>《船舶配套产业能力提升行动计划（</w:t>
            </w:r>
            <w:r>
              <w:rPr>
                <w:rFonts w:eastAsia="Times New Roman" w:cs="Times New Roman"/>
                <w:kern w:val="0"/>
                <w:sz w:val="21"/>
                <w:szCs w:val="21"/>
                <w:lang w:val="zh-CN"/>
              </w:rPr>
              <w:t>2016~2020</w:t>
            </w:r>
            <w:r>
              <w:rPr>
                <w:rFonts w:ascii="宋体" w:hAnsi="宋体" w:hint="eastAsia"/>
                <w:kern w:val="0"/>
                <w:sz w:val="21"/>
                <w:szCs w:val="21"/>
                <w:lang w:val="zh-CN"/>
              </w:rPr>
              <w:t>年）》</w:t>
            </w:r>
          </w:p>
        </w:tc>
        <w:tc>
          <w:tcPr>
            <w:tcW w:w="5365" w:type="dxa"/>
            <w:shd w:val="clear" w:color="auto" w:fill="FFFFFF"/>
          </w:tcPr>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到</w:t>
            </w:r>
            <w:r>
              <w:rPr>
                <w:rFonts w:eastAsia="Times New Roman" w:cs="Times New Roman"/>
                <w:kern w:val="0"/>
                <w:sz w:val="21"/>
                <w:szCs w:val="21"/>
                <w:lang w:val="zh-CN"/>
              </w:rPr>
              <w:t>2020</w:t>
            </w:r>
            <w:r>
              <w:rPr>
                <w:rFonts w:ascii="宋体" w:hAnsi="宋体" w:hint="eastAsia"/>
                <w:kern w:val="0"/>
                <w:sz w:val="21"/>
                <w:szCs w:val="21"/>
                <w:lang w:val="zh-CN"/>
              </w:rPr>
              <w:t>年，基本建成较为完善的船用设备研发、设计制造和服务体系，关键船用设备设计制造能力达到世界先进水平，全面掌握船舶动力、甲板机械、舱室设备、</w:t>
            </w:r>
            <w:r>
              <w:rPr>
                <w:rFonts w:ascii="宋体" w:hAnsi="宋体" w:hint="eastAsia"/>
                <w:b/>
                <w:bCs/>
                <w:kern w:val="0"/>
                <w:sz w:val="21"/>
                <w:szCs w:val="21"/>
                <w:lang w:val="zh-CN"/>
              </w:rPr>
              <w:t>通导与智能系统及设备的核心技术</w:t>
            </w:r>
            <w:r>
              <w:rPr>
                <w:rFonts w:ascii="宋体" w:hAnsi="宋体" w:hint="eastAsia"/>
                <w:kern w:val="0"/>
                <w:sz w:val="21"/>
                <w:szCs w:val="21"/>
                <w:lang w:val="zh-CN"/>
              </w:rPr>
              <w:t>；高技术船舶本土化船用设备平均装船率达到</w:t>
            </w:r>
            <w:r>
              <w:rPr>
                <w:rFonts w:eastAsia="Times New Roman" w:cs="Times New Roman"/>
                <w:kern w:val="0"/>
                <w:sz w:val="21"/>
                <w:szCs w:val="21"/>
                <w:lang w:val="zh-CN"/>
              </w:rPr>
              <w:t>60%</w:t>
            </w:r>
            <w:r>
              <w:rPr>
                <w:rFonts w:ascii="宋体" w:hAnsi="宋体" w:hint="eastAsia"/>
                <w:kern w:val="0"/>
                <w:sz w:val="21"/>
                <w:szCs w:val="21"/>
                <w:lang w:val="zh-CN"/>
              </w:rPr>
              <w:t>以上，船用设备关键零部件本土配套率达到</w:t>
            </w:r>
            <w:r>
              <w:rPr>
                <w:rFonts w:eastAsia="Times New Roman" w:cs="Times New Roman"/>
                <w:b/>
                <w:bCs/>
                <w:kern w:val="0"/>
                <w:sz w:val="21"/>
                <w:szCs w:val="21"/>
                <w:lang w:val="zh-CN"/>
              </w:rPr>
              <w:t>80%</w:t>
            </w:r>
            <w:r>
              <w:rPr>
                <w:rFonts w:ascii="宋体" w:hAnsi="宋体" w:hint="eastAsia"/>
                <w:kern w:val="0"/>
                <w:sz w:val="21"/>
                <w:szCs w:val="21"/>
                <w:lang w:val="zh-CN"/>
              </w:rPr>
              <w:t>，成为世界主要</w:t>
            </w:r>
            <w:r>
              <w:rPr>
                <w:rFonts w:ascii="宋体" w:hAnsi="宋体" w:hint="eastAsia"/>
                <w:b/>
                <w:bCs/>
                <w:kern w:val="0"/>
                <w:sz w:val="21"/>
                <w:szCs w:val="21"/>
                <w:lang w:val="zh-CN"/>
              </w:rPr>
              <w:t>船用设备</w:t>
            </w:r>
            <w:r>
              <w:rPr>
                <w:rFonts w:ascii="宋体" w:hAnsi="宋体" w:hint="eastAsia"/>
                <w:kern w:val="0"/>
                <w:sz w:val="21"/>
                <w:szCs w:val="21"/>
                <w:lang w:val="zh-CN"/>
              </w:rPr>
              <w:t>制造大国。</w:t>
            </w:r>
          </w:p>
        </w:tc>
      </w:tr>
      <w:tr w:rsidR="00A9288A">
        <w:tc>
          <w:tcPr>
            <w:tcW w:w="1303" w:type="dxa"/>
            <w:shd w:val="clear" w:color="auto" w:fill="B8CCE4"/>
          </w:tcPr>
          <w:p w:rsidR="00A9288A" w:rsidRDefault="007A4434">
            <w:pPr>
              <w:autoSpaceDE w:val="0"/>
              <w:autoSpaceDN w:val="0"/>
              <w:adjustRightInd w:val="0"/>
              <w:spacing w:before="0" w:after="0"/>
              <w:rPr>
                <w:rFonts w:eastAsia="Times New Roman" w:cs="Times New Roman"/>
                <w:kern w:val="0"/>
                <w:sz w:val="21"/>
                <w:szCs w:val="21"/>
                <w:lang w:val="zh-CN"/>
              </w:rPr>
            </w:pPr>
            <w:r>
              <w:rPr>
                <w:rFonts w:eastAsia="Times New Roman" w:cs="Times New Roman"/>
                <w:kern w:val="0"/>
                <w:sz w:val="21"/>
                <w:szCs w:val="21"/>
                <w:lang w:val="zh-CN"/>
              </w:rPr>
              <w:t>2015</w:t>
            </w:r>
            <w:r>
              <w:rPr>
                <w:rFonts w:ascii="宋体" w:hAnsi="宋体" w:hint="eastAsia"/>
                <w:kern w:val="0"/>
                <w:sz w:val="21"/>
                <w:szCs w:val="21"/>
                <w:lang w:val="zh-CN"/>
              </w:rPr>
              <w:t>年</w:t>
            </w:r>
            <w:r>
              <w:rPr>
                <w:rFonts w:eastAsia="Times New Roman" w:cs="Times New Roman"/>
                <w:kern w:val="0"/>
                <w:sz w:val="21"/>
                <w:szCs w:val="21"/>
                <w:lang w:val="zh-CN"/>
              </w:rPr>
              <w:t>5</w:t>
            </w:r>
            <w:r>
              <w:rPr>
                <w:rFonts w:ascii="宋体" w:hAnsi="宋体" w:hint="eastAsia"/>
                <w:kern w:val="0"/>
                <w:sz w:val="21"/>
                <w:szCs w:val="21"/>
                <w:lang w:val="zh-CN"/>
              </w:rPr>
              <w:t>月</w:t>
            </w:r>
          </w:p>
        </w:tc>
        <w:tc>
          <w:tcPr>
            <w:tcW w:w="1318" w:type="dxa"/>
            <w:shd w:val="clear" w:color="auto" w:fill="B8CCE4"/>
          </w:tcPr>
          <w:p w:rsidR="00A9288A" w:rsidRDefault="007A4434">
            <w:pPr>
              <w:autoSpaceDE w:val="0"/>
              <w:autoSpaceDN w:val="0"/>
              <w:adjustRightInd w:val="0"/>
              <w:spacing w:before="0" w:after="0"/>
              <w:rPr>
                <w:rFonts w:eastAsia="Times New Roman" w:cs="Times New Roman"/>
                <w:kern w:val="0"/>
                <w:sz w:val="21"/>
                <w:szCs w:val="21"/>
                <w:lang w:val="zh-CN"/>
              </w:rPr>
            </w:pPr>
            <w:r>
              <w:rPr>
                <w:rFonts w:ascii="宋体" w:hAnsi="宋体" w:hint="eastAsia"/>
                <w:kern w:val="0"/>
                <w:sz w:val="21"/>
                <w:szCs w:val="21"/>
                <w:lang w:val="zh-CN"/>
              </w:rPr>
              <w:t>国务院</w:t>
            </w:r>
          </w:p>
        </w:tc>
        <w:tc>
          <w:tcPr>
            <w:tcW w:w="1868" w:type="dxa"/>
            <w:shd w:val="clear" w:color="auto" w:fill="B8CCE4"/>
          </w:tcPr>
          <w:p w:rsidR="00A9288A" w:rsidRDefault="007A4434">
            <w:pPr>
              <w:autoSpaceDE w:val="0"/>
              <w:autoSpaceDN w:val="0"/>
              <w:adjustRightInd w:val="0"/>
              <w:spacing w:before="0" w:after="0"/>
              <w:rPr>
                <w:rFonts w:eastAsia="Times New Roman" w:cs="Times New Roman"/>
                <w:kern w:val="0"/>
                <w:sz w:val="21"/>
                <w:szCs w:val="21"/>
                <w:lang w:val="zh-CN"/>
              </w:rPr>
            </w:pPr>
            <w:r>
              <w:rPr>
                <w:rFonts w:ascii="宋体" w:hAnsi="宋体" w:hint="eastAsia"/>
                <w:kern w:val="0"/>
                <w:sz w:val="21"/>
                <w:szCs w:val="21"/>
                <w:lang w:val="zh-CN"/>
              </w:rPr>
              <w:t>《中国制造</w:t>
            </w:r>
            <w:r>
              <w:rPr>
                <w:rFonts w:eastAsia="Times New Roman" w:cs="Times New Roman"/>
                <w:kern w:val="0"/>
                <w:sz w:val="21"/>
                <w:szCs w:val="21"/>
                <w:lang w:val="zh-CN"/>
              </w:rPr>
              <w:t>2025</w:t>
            </w:r>
            <w:r>
              <w:rPr>
                <w:rFonts w:ascii="宋体" w:hAnsi="宋体" w:hint="eastAsia"/>
                <w:kern w:val="0"/>
                <w:sz w:val="21"/>
                <w:szCs w:val="21"/>
                <w:lang w:val="zh-CN"/>
              </w:rPr>
              <w:t>》</w:t>
            </w:r>
          </w:p>
        </w:tc>
        <w:tc>
          <w:tcPr>
            <w:tcW w:w="5365" w:type="dxa"/>
            <w:shd w:val="clear" w:color="auto" w:fill="B8CCE4"/>
          </w:tcPr>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明确提出要掌握船舶重点</w:t>
            </w:r>
            <w:r>
              <w:rPr>
                <w:rFonts w:ascii="宋体" w:hAnsi="宋体" w:hint="eastAsia"/>
                <w:b/>
                <w:bCs/>
                <w:kern w:val="0"/>
                <w:sz w:val="21"/>
                <w:szCs w:val="21"/>
                <w:lang w:val="zh-CN"/>
              </w:rPr>
              <w:t>配套设备的智能化</w:t>
            </w:r>
            <w:r>
              <w:rPr>
                <w:rFonts w:ascii="宋体" w:hAnsi="宋体" w:hint="eastAsia"/>
                <w:kern w:val="0"/>
                <w:sz w:val="21"/>
                <w:szCs w:val="21"/>
                <w:lang w:val="zh-CN"/>
              </w:rPr>
              <w:t>设计；在重点发展领域中明确提出要</w:t>
            </w:r>
            <w:r>
              <w:rPr>
                <w:rFonts w:eastAsia="Times New Roman" w:cs="Times New Roman"/>
                <w:kern w:val="0"/>
                <w:sz w:val="21"/>
                <w:szCs w:val="21"/>
                <w:lang w:val="zh-CN"/>
              </w:rPr>
              <w:t>“</w:t>
            </w:r>
            <w:r>
              <w:rPr>
                <w:rFonts w:ascii="宋体" w:hAnsi="宋体" w:hint="eastAsia"/>
                <w:kern w:val="0"/>
                <w:sz w:val="21"/>
                <w:szCs w:val="21"/>
                <w:lang w:val="zh-CN"/>
              </w:rPr>
              <w:t>掌握海洋工程装备及船舶重点配套设备</w:t>
            </w:r>
            <w:r>
              <w:rPr>
                <w:rFonts w:ascii="宋体" w:hAnsi="宋体" w:hint="eastAsia"/>
                <w:b/>
                <w:bCs/>
                <w:kern w:val="0"/>
                <w:sz w:val="21"/>
                <w:szCs w:val="21"/>
                <w:lang w:val="zh-CN"/>
              </w:rPr>
              <w:t>集成化、智能化、模块化</w:t>
            </w:r>
            <w:r>
              <w:rPr>
                <w:rFonts w:ascii="宋体" w:hAnsi="宋体" w:hint="eastAsia"/>
                <w:kern w:val="0"/>
                <w:sz w:val="21"/>
                <w:szCs w:val="21"/>
                <w:lang w:val="zh-CN"/>
              </w:rPr>
              <w:t>设计制造核心技术</w:t>
            </w:r>
            <w:r>
              <w:rPr>
                <w:rFonts w:eastAsia="Times New Roman" w:cs="Times New Roman"/>
                <w:kern w:val="0"/>
                <w:sz w:val="21"/>
                <w:szCs w:val="21"/>
                <w:lang w:val="zh-CN"/>
              </w:rPr>
              <w:t>”</w:t>
            </w:r>
            <w:r>
              <w:rPr>
                <w:rFonts w:ascii="宋体" w:hAnsi="宋体" w:hint="eastAsia"/>
                <w:kern w:val="0"/>
                <w:sz w:val="21"/>
                <w:szCs w:val="21"/>
                <w:lang w:val="zh-CN"/>
              </w:rPr>
              <w:t>。</w:t>
            </w:r>
          </w:p>
        </w:tc>
      </w:tr>
    </w:tbl>
    <w:p w:rsidR="00A9288A" w:rsidRDefault="007A4434">
      <w:pPr>
        <w:autoSpaceDE w:val="0"/>
        <w:autoSpaceDN w:val="0"/>
        <w:adjustRightInd w:val="0"/>
        <w:spacing w:before="0" w:after="0"/>
        <w:ind w:firstLine="420"/>
        <w:jc w:val="left"/>
        <w:rPr>
          <w:rFonts w:eastAsia="Times New Roman" w:cs="Times New Roman"/>
          <w:kern w:val="0"/>
          <w:sz w:val="21"/>
          <w:szCs w:val="21"/>
          <w:lang w:val="zh-CN"/>
        </w:rPr>
      </w:pPr>
      <w:r>
        <w:rPr>
          <w:rFonts w:ascii="宋体" w:hAnsi="宋体" w:hint="eastAsia"/>
          <w:kern w:val="0"/>
          <w:sz w:val="21"/>
          <w:szCs w:val="21"/>
          <w:lang w:val="zh-CN"/>
        </w:rPr>
        <w:t>智能船舶是船东追求船舶运营安全、提升运行效率的必然选择。在人工智能时代背景下，船舶智能化已经成为当今船舶制造与航运领域发展的必然趋势。以往那些</w:t>
      </w:r>
      <w:r>
        <w:rPr>
          <w:rFonts w:eastAsia="Times New Roman" w:cs="Times New Roman"/>
          <w:kern w:val="0"/>
          <w:sz w:val="21"/>
          <w:szCs w:val="21"/>
          <w:lang w:val="zh-CN"/>
        </w:rPr>
        <w:t>“</w:t>
      </w:r>
      <w:r>
        <w:rPr>
          <w:rFonts w:ascii="宋体" w:hAnsi="宋体" w:hint="eastAsia"/>
          <w:kern w:val="0"/>
          <w:sz w:val="21"/>
          <w:szCs w:val="21"/>
          <w:lang w:val="zh-CN"/>
        </w:rPr>
        <w:t>通过经验做管理</w:t>
      </w:r>
      <w:r>
        <w:rPr>
          <w:rFonts w:eastAsia="Times New Roman" w:cs="Times New Roman"/>
          <w:kern w:val="0"/>
          <w:sz w:val="21"/>
          <w:szCs w:val="21"/>
          <w:lang w:val="zh-CN"/>
        </w:rPr>
        <w:t>”</w:t>
      </w:r>
      <w:r>
        <w:rPr>
          <w:rFonts w:ascii="宋体" w:hAnsi="宋体" w:hint="eastAsia"/>
          <w:kern w:val="0"/>
          <w:sz w:val="21"/>
          <w:szCs w:val="21"/>
          <w:lang w:val="zh-CN"/>
        </w:rPr>
        <w:t>的传统运行模式已经逐步被边缘化，非智能化船舶已无法满足未来船东对运营经济性和安全性的要求。智能船舶以</w:t>
      </w:r>
      <w:r>
        <w:rPr>
          <w:rFonts w:eastAsia="Times New Roman" w:cs="Times New Roman"/>
          <w:kern w:val="0"/>
          <w:sz w:val="21"/>
          <w:szCs w:val="21"/>
          <w:lang w:val="zh-CN"/>
        </w:rPr>
        <w:t>“</w:t>
      </w:r>
      <w:r>
        <w:rPr>
          <w:rFonts w:ascii="宋体" w:hAnsi="宋体" w:hint="eastAsia"/>
          <w:kern w:val="0"/>
          <w:sz w:val="21"/>
          <w:szCs w:val="21"/>
          <w:lang w:val="zh-CN"/>
        </w:rPr>
        <w:t>数据</w:t>
      </w:r>
      <w:r>
        <w:rPr>
          <w:rFonts w:eastAsia="Times New Roman" w:cs="Times New Roman"/>
          <w:kern w:val="0"/>
          <w:sz w:val="21"/>
          <w:szCs w:val="21"/>
          <w:lang w:val="zh-CN"/>
        </w:rPr>
        <w:t>”</w:t>
      </w:r>
      <w:r>
        <w:rPr>
          <w:rFonts w:ascii="宋体" w:hAnsi="宋体" w:hint="eastAsia"/>
          <w:kern w:val="0"/>
          <w:sz w:val="21"/>
          <w:szCs w:val="21"/>
          <w:lang w:val="zh-CN"/>
        </w:rPr>
        <w:t>为基础，运用先进的人工智能技术，实现船舶智能化的感知、判断分析、决策、控制及成长，从而更好地保证船舶航行的安全性和经济性。此外，</w:t>
      </w:r>
      <w:r>
        <w:rPr>
          <w:rFonts w:eastAsia="Times New Roman" w:cs="Times New Roman"/>
          <w:kern w:val="0"/>
          <w:sz w:val="21"/>
          <w:szCs w:val="21"/>
          <w:lang w:val="zh-CN"/>
        </w:rPr>
        <w:t>IMO</w:t>
      </w:r>
      <w:r>
        <w:rPr>
          <w:rFonts w:ascii="宋体" w:hAnsi="宋体" w:hint="eastAsia"/>
          <w:kern w:val="0"/>
          <w:sz w:val="21"/>
          <w:szCs w:val="21"/>
          <w:lang w:val="zh-CN"/>
        </w:rPr>
        <w:t>新规范、新标准对船舶排放物的监控要求将进一步增加船东选择智能船舶的可能性。</w:t>
      </w:r>
    </w:p>
    <w:p w:rsidR="00A9288A" w:rsidRDefault="007A4434">
      <w:pPr>
        <w:autoSpaceDE w:val="0"/>
        <w:autoSpaceDN w:val="0"/>
        <w:adjustRightInd w:val="0"/>
        <w:spacing w:before="0" w:after="0"/>
        <w:ind w:firstLine="420"/>
        <w:jc w:val="left"/>
        <w:rPr>
          <w:rFonts w:eastAsia="Times New Roman" w:cs="Times New Roman"/>
          <w:kern w:val="0"/>
          <w:sz w:val="21"/>
          <w:szCs w:val="21"/>
          <w:lang w:val="zh-CN"/>
        </w:rPr>
      </w:pPr>
      <w:r>
        <w:rPr>
          <w:rFonts w:ascii="宋体" w:hAnsi="宋体" w:hint="eastAsia"/>
          <w:kern w:val="0"/>
          <w:sz w:val="21"/>
          <w:szCs w:val="21"/>
          <w:lang w:val="zh-CN"/>
        </w:rPr>
        <w:t>目前，船舶的智能化趋势已经基本成为行业共识，国际上船舶配套相关大型企业，如罗罗、瓦锡兰、康士伯等企业近几年纷纷加快研究步伐，在通讯导航、综合船桥、全船智能化、虚拟仿真系统、船岸系统等方面均开展了大量研究。海兰信作为国家智能船舶</w:t>
      </w:r>
      <w:r>
        <w:rPr>
          <w:rFonts w:eastAsia="Times New Roman" w:cs="Times New Roman"/>
          <w:kern w:val="0"/>
          <w:sz w:val="21"/>
          <w:szCs w:val="21"/>
          <w:lang w:val="zh-CN"/>
        </w:rPr>
        <w:t>1.0</w:t>
      </w:r>
      <w:r>
        <w:rPr>
          <w:rFonts w:ascii="宋体" w:hAnsi="宋体" w:hint="eastAsia"/>
          <w:kern w:val="0"/>
          <w:sz w:val="21"/>
          <w:szCs w:val="21"/>
          <w:lang w:val="zh-CN"/>
        </w:rPr>
        <w:t>专项的主要承担单位之一、中国智能船舶创新联盟的副理事长单位，有望在今年实现</w:t>
      </w:r>
      <w:r>
        <w:rPr>
          <w:rFonts w:eastAsia="Times New Roman" w:cs="Times New Roman"/>
          <w:kern w:val="0"/>
          <w:sz w:val="21"/>
          <w:szCs w:val="21"/>
          <w:lang w:val="zh-CN"/>
        </w:rPr>
        <w:t>CCS</w:t>
      </w:r>
      <w:r>
        <w:rPr>
          <w:rFonts w:ascii="宋体" w:hAnsi="宋体" w:hint="eastAsia"/>
          <w:kern w:val="0"/>
          <w:sz w:val="21"/>
          <w:szCs w:val="21"/>
          <w:lang w:val="zh-CN"/>
        </w:rPr>
        <w:t>船级社</w:t>
      </w:r>
      <w:r>
        <w:rPr>
          <w:rFonts w:eastAsia="Times New Roman" w:cs="Times New Roman"/>
          <w:kern w:val="0"/>
          <w:sz w:val="21"/>
          <w:szCs w:val="21"/>
          <w:lang w:val="zh-CN"/>
        </w:rPr>
        <w:t>i-ship</w:t>
      </w:r>
      <w:r>
        <w:rPr>
          <w:rFonts w:ascii="宋体" w:hAnsi="宋体" w:hint="eastAsia"/>
          <w:kern w:val="0"/>
          <w:sz w:val="21"/>
          <w:szCs w:val="21"/>
          <w:lang w:val="zh-CN"/>
        </w:rPr>
        <w:t>智能船规范中的核心智能功能的型式认可，并将在</w:t>
      </w:r>
      <w:r>
        <w:rPr>
          <w:rFonts w:eastAsia="Times New Roman" w:cs="Times New Roman"/>
          <w:kern w:val="0"/>
          <w:sz w:val="21"/>
          <w:szCs w:val="21"/>
          <w:lang w:val="zh-CN"/>
        </w:rPr>
        <w:t>10</w:t>
      </w:r>
      <w:r>
        <w:rPr>
          <w:rFonts w:ascii="宋体" w:hAnsi="宋体" w:hint="eastAsia"/>
          <w:kern w:val="0"/>
          <w:sz w:val="21"/>
          <w:szCs w:val="21"/>
          <w:lang w:val="zh-CN"/>
        </w:rPr>
        <w:t>月底的招商</w:t>
      </w:r>
      <w:r>
        <w:rPr>
          <w:rFonts w:eastAsia="Times New Roman" w:cs="Times New Roman"/>
          <w:kern w:val="0"/>
          <w:sz w:val="21"/>
          <w:szCs w:val="21"/>
          <w:lang w:val="zh-CN"/>
        </w:rPr>
        <w:t>40</w:t>
      </w:r>
      <w:r>
        <w:rPr>
          <w:rFonts w:ascii="宋体" w:hAnsi="宋体" w:hint="eastAsia"/>
          <w:kern w:val="0"/>
          <w:sz w:val="21"/>
          <w:szCs w:val="21"/>
          <w:lang w:val="zh-CN"/>
        </w:rPr>
        <w:t>万吨</w:t>
      </w:r>
      <w:r>
        <w:rPr>
          <w:rFonts w:eastAsia="Times New Roman" w:cs="Times New Roman"/>
          <w:kern w:val="0"/>
          <w:sz w:val="21"/>
          <w:szCs w:val="21"/>
          <w:lang w:val="zh-CN"/>
        </w:rPr>
        <w:t>VLOC</w:t>
      </w:r>
      <w:r>
        <w:rPr>
          <w:rFonts w:ascii="宋体" w:hAnsi="宋体" w:hint="eastAsia"/>
          <w:kern w:val="0"/>
          <w:sz w:val="21"/>
          <w:szCs w:val="21"/>
          <w:lang w:val="zh-CN"/>
        </w:rPr>
        <w:t>智能船上首先投入实船应用。通过工信部智能船舶</w:t>
      </w:r>
      <w:r>
        <w:rPr>
          <w:rFonts w:eastAsia="Times New Roman" w:cs="Times New Roman"/>
          <w:kern w:val="0"/>
          <w:sz w:val="21"/>
          <w:szCs w:val="21"/>
          <w:lang w:val="zh-CN"/>
        </w:rPr>
        <w:t xml:space="preserve">1.0 </w:t>
      </w:r>
      <w:r>
        <w:rPr>
          <w:rFonts w:ascii="宋体" w:hAnsi="宋体" w:hint="eastAsia"/>
          <w:kern w:val="0"/>
          <w:sz w:val="21"/>
          <w:szCs w:val="21"/>
          <w:lang w:val="zh-CN"/>
        </w:rPr>
        <w:t>专项的实施，快速取得产品型式认可并进行实船验证将真正使先发优势转化为公司的差异化优势，实现弯道超车。</w:t>
      </w:r>
    </w:p>
    <w:p w:rsidR="00A9288A" w:rsidRDefault="007A4434">
      <w:pPr>
        <w:autoSpaceDE w:val="0"/>
        <w:autoSpaceDN w:val="0"/>
        <w:adjustRightInd w:val="0"/>
        <w:spacing w:before="0" w:after="0"/>
        <w:ind w:firstLine="420"/>
        <w:jc w:val="left"/>
        <w:rPr>
          <w:rFonts w:eastAsia="Times New Roman" w:cs="Times New Roman"/>
          <w:kern w:val="0"/>
          <w:sz w:val="21"/>
          <w:szCs w:val="21"/>
          <w:lang w:val="zh-CN"/>
        </w:rPr>
      </w:pPr>
      <w:r>
        <w:rPr>
          <w:rFonts w:ascii="宋体" w:hAnsi="宋体" w:hint="eastAsia"/>
          <w:kern w:val="0"/>
          <w:sz w:val="21"/>
          <w:szCs w:val="21"/>
          <w:lang w:val="zh-CN"/>
        </w:rPr>
        <w:t>上述业务领域为公司成熟业务，公司为国内领先的船舶通导系统自主品牌，客户覆盖商船、公务船、科考船、渔船、舰船、海工船，覆盖民商船和军工领域。航运市场的竞争激烈，迫使航运企业加强管理，探求用智能化、互联网</w:t>
      </w:r>
      <w:r>
        <w:rPr>
          <w:rFonts w:eastAsia="Times New Roman" w:cs="Times New Roman"/>
          <w:kern w:val="0"/>
          <w:sz w:val="21"/>
          <w:szCs w:val="21"/>
          <w:lang w:val="zh-CN"/>
        </w:rPr>
        <w:t>+</w:t>
      </w:r>
      <w:r>
        <w:rPr>
          <w:rFonts w:ascii="宋体" w:hAnsi="宋体" w:hint="eastAsia"/>
          <w:kern w:val="0"/>
          <w:sz w:val="21"/>
          <w:szCs w:val="21"/>
          <w:lang w:val="zh-CN"/>
        </w:rPr>
        <w:t>等手段来提高运行效率，降低成本。在本公司的业务领域，客户从以往关注产品的价格、质量等基础上，进一步注重产品的附加功能。公司一直将智能化作为主要的差异化特征，并取得了一些典型应用，这将帮助公司在行业低迷期提升客户满意度，从而进一步提升市场占有率。同时，公司面对的军、警市场相对活跃，公司产品系列齐全、国际化技术优势明显，这将有助于公司在军、警市场进一步扩大业务量。</w:t>
      </w:r>
    </w:p>
    <w:p w:rsidR="00A9288A" w:rsidRDefault="007A4434">
      <w:pPr>
        <w:autoSpaceDE w:val="0"/>
        <w:autoSpaceDN w:val="0"/>
        <w:adjustRightInd w:val="0"/>
        <w:spacing w:before="0" w:after="0"/>
        <w:ind w:firstLine="422"/>
        <w:rPr>
          <w:rFonts w:eastAsia="Times New Roman" w:cs="Times New Roman"/>
          <w:kern w:val="0"/>
          <w:sz w:val="21"/>
          <w:szCs w:val="21"/>
          <w:lang w:val="zh-CN"/>
        </w:rPr>
      </w:pPr>
      <w:r>
        <w:rPr>
          <w:rFonts w:eastAsia="Times New Roman" w:cs="Times New Roman"/>
          <w:b/>
          <w:bCs/>
          <w:kern w:val="0"/>
          <w:sz w:val="21"/>
          <w:szCs w:val="21"/>
          <w:lang w:val="zh-CN"/>
        </w:rPr>
        <w:t>2</w:t>
      </w:r>
      <w:r>
        <w:rPr>
          <w:rFonts w:ascii="宋体" w:hAnsi="宋体" w:hint="eastAsia"/>
          <w:b/>
          <w:bCs/>
          <w:kern w:val="0"/>
          <w:sz w:val="21"/>
          <w:szCs w:val="21"/>
          <w:lang w:val="zh-CN"/>
        </w:rPr>
        <w:t>、智慧海洋领域</w:t>
      </w:r>
    </w:p>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eastAsia="Times New Roman" w:cs="Times New Roman"/>
          <w:b/>
          <w:bCs/>
          <w:kern w:val="0"/>
          <w:sz w:val="21"/>
          <w:szCs w:val="21"/>
          <w:lang w:val="zh-CN"/>
        </w:rPr>
        <w:t>1</w:t>
      </w:r>
      <w:r>
        <w:rPr>
          <w:rFonts w:ascii="宋体" w:hAnsi="宋体" w:hint="eastAsia"/>
          <w:b/>
          <w:bCs/>
          <w:kern w:val="0"/>
          <w:sz w:val="21"/>
          <w:szCs w:val="21"/>
          <w:lang w:val="zh-CN"/>
        </w:rPr>
        <w:t>）人民日报整版发文建设海洋强国，十九大重申海陆统筹</w:t>
      </w:r>
    </w:p>
    <w:p w:rsidR="00A9288A" w:rsidRDefault="007A4434">
      <w:pPr>
        <w:autoSpaceDE w:val="0"/>
        <w:autoSpaceDN w:val="0"/>
        <w:adjustRightInd w:val="0"/>
        <w:spacing w:before="0" w:after="0"/>
        <w:ind w:firstLine="420"/>
        <w:jc w:val="left"/>
        <w:rPr>
          <w:rFonts w:eastAsia="Times New Roman" w:cs="Times New Roman"/>
          <w:kern w:val="0"/>
          <w:sz w:val="21"/>
          <w:szCs w:val="21"/>
          <w:lang w:val="zh-CN"/>
        </w:rPr>
      </w:pPr>
      <w:r>
        <w:rPr>
          <w:rFonts w:eastAsia="Times New Roman" w:cs="Times New Roman"/>
          <w:kern w:val="0"/>
          <w:sz w:val="21"/>
          <w:szCs w:val="21"/>
          <w:lang w:val="zh-CN"/>
        </w:rPr>
        <w:t>2018</w:t>
      </w:r>
      <w:r>
        <w:rPr>
          <w:rFonts w:ascii="宋体" w:hAnsi="宋体" w:hint="eastAsia"/>
          <w:kern w:val="0"/>
          <w:sz w:val="21"/>
          <w:szCs w:val="21"/>
          <w:lang w:val="zh-CN"/>
        </w:rPr>
        <w:t>年</w:t>
      </w:r>
      <w:r>
        <w:rPr>
          <w:rFonts w:eastAsia="Times New Roman" w:cs="Times New Roman"/>
          <w:kern w:val="0"/>
          <w:sz w:val="21"/>
          <w:szCs w:val="21"/>
          <w:lang w:val="zh-CN"/>
        </w:rPr>
        <w:t>4</w:t>
      </w:r>
      <w:r>
        <w:rPr>
          <w:rFonts w:ascii="宋体" w:hAnsi="宋体" w:hint="eastAsia"/>
          <w:kern w:val="0"/>
          <w:sz w:val="21"/>
          <w:szCs w:val="21"/>
          <w:lang w:val="zh-CN"/>
        </w:rPr>
        <w:t>月</w:t>
      </w:r>
      <w:r>
        <w:rPr>
          <w:rFonts w:eastAsia="Times New Roman" w:cs="Times New Roman"/>
          <w:kern w:val="0"/>
          <w:sz w:val="21"/>
          <w:szCs w:val="21"/>
          <w:lang w:val="zh-CN"/>
        </w:rPr>
        <w:t>11</w:t>
      </w:r>
      <w:r>
        <w:rPr>
          <w:rFonts w:ascii="宋体" w:hAnsi="宋体" w:hint="eastAsia"/>
          <w:kern w:val="0"/>
          <w:sz w:val="21"/>
          <w:szCs w:val="21"/>
          <w:lang w:val="zh-CN"/>
        </w:rPr>
        <w:t>日，中共中央国务院发布《关于支持海南全面深化改革开放的指导意见》，提出</w:t>
      </w:r>
      <w:r>
        <w:rPr>
          <w:rFonts w:eastAsia="Times New Roman" w:cs="Times New Roman"/>
          <w:kern w:val="0"/>
          <w:sz w:val="21"/>
          <w:szCs w:val="21"/>
          <w:lang w:val="zh-CN"/>
        </w:rPr>
        <w:t>“</w:t>
      </w:r>
      <w:r>
        <w:rPr>
          <w:rFonts w:ascii="宋体" w:hAnsi="宋体" w:hint="eastAsia"/>
          <w:b/>
          <w:bCs/>
          <w:kern w:val="0"/>
          <w:sz w:val="21"/>
          <w:szCs w:val="21"/>
          <w:lang w:val="zh-CN"/>
        </w:rPr>
        <w:t>将海南定位为国家重大战略服务保障区</w:t>
      </w:r>
      <w:r>
        <w:rPr>
          <w:rFonts w:ascii="宋体" w:hAnsi="宋体" w:hint="eastAsia"/>
          <w:kern w:val="0"/>
          <w:sz w:val="21"/>
          <w:szCs w:val="21"/>
          <w:lang w:val="zh-CN"/>
        </w:rPr>
        <w:t>：深度融入海洋强国、</w:t>
      </w:r>
      <w:r>
        <w:rPr>
          <w:rFonts w:eastAsia="Times New Roman" w:cs="Times New Roman"/>
          <w:kern w:val="0"/>
          <w:sz w:val="21"/>
          <w:szCs w:val="21"/>
          <w:lang w:val="zh-CN"/>
        </w:rPr>
        <w:t>“</w:t>
      </w:r>
      <w:r>
        <w:rPr>
          <w:rFonts w:ascii="宋体" w:hAnsi="宋体" w:hint="eastAsia"/>
          <w:kern w:val="0"/>
          <w:sz w:val="21"/>
          <w:szCs w:val="21"/>
          <w:lang w:val="zh-CN"/>
        </w:rPr>
        <w:t>一带一路</w:t>
      </w:r>
      <w:r>
        <w:rPr>
          <w:rFonts w:eastAsia="Times New Roman" w:cs="Times New Roman"/>
          <w:kern w:val="0"/>
          <w:sz w:val="21"/>
          <w:szCs w:val="21"/>
          <w:lang w:val="zh-CN"/>
        </w:rPr>
        <w:t>”</w:t>
      </w:r>
      <w:r>
        <w:rPr>
          <w:rFonts w:ascii="宋体" w:hAnsi="宋体" w:hint="eastAsia"/>
          <w:kern w:val="0"/>
          <w:sz w:val="21"/>
          <w:szCs w:val="21"/>
          <w:lang w:val="zh-CN"/>
        </w:rPr>
        <w:t>建设、军民融合发展等重大战略，全面加强支撑保障能力建设，切实履行好党中央赋予的重要使命，提升海南在国家战略格局中的地位和作用</w:t>
      </w:r>
      <w:r>
        <w:rPr>
          <w:rFonts w:eastAsia="Times New Roman" w:cs="Times New Roman"/>
          <w:kern w:val="0"/>
          <w:sz w:val="21"/>
          <w:szCs w:val="21"/>
          <w:lang w:val="zh-CN"/>
        </w:rPr>
        <w:t>”</w:t>
      </w:r>
      <w:r>
        <w:rPr>
          <w:rFonts w:ascii="宋体" w:hAnsi="宋体" w:hint="eastAsia"/>
          <w:kern w:val="0"/>
          <w:sz w:val="21"/>
          <w:szCs w:val="21"/>
          <w:lang w:val="zh-CN"/>
        </w:rPr>
        <w:t>。</w:t>
      </w:r>
      <w:r>
        <w:rPr>
          <w:rFonts w:eastAsia="Times New Roman" w:cs="Times New Roman"/>
          <w:kern w:val="0"/>
          <w:sz w:val="21"/>
          <w:szCs w:val="21"/>
          <w:lang w:val="zh-CN"/>
        </w:rPr>
        <w:t>4</w:t>
      </w:r>
      <w:r>
        <w:rPr>
          <w:rFonts w:ascii="宋体" w:hAnsi="宋体" w:hint="eastAsia"/>
          <w:kern w:val="0"/>
          <w:sz w:val="21"/>
          <w:szCs w:val="21"/>
          <w:lang w:val="zh-CN"/>
        </w:rPr>
        <w:t>月</w:t>
      </w:r>
      <w:r>
        <w:rPr>
          <w:rFonts w:eastAsia="Times New Roman" w:cs="Times New Roman"/>
          <w:kern w:val="0"/>
          <w:sz w:val="21"/>
          <w:szCs w:val="21"/>
          <w:lang w:val="zh-CN"/>
        </w:rPr>
        <w:t>12</w:t>
      </w:r>
      <w:r>
        <w:rPr>
          <w:rFonts w:ascii="宋体" w:hAnsi="宋体" w:hint="eastAsia"/>
          <w:kern w:val="0"/>
          <w:sz w:val="21"/>
          <w:szCs w:val="21"/>
          <w:lang w:val="zh-CN"/>
        </w:rPr>
        <w:t>日，</w:t>
      </w:r>
      <w:r>
        <w:rPr>
          <w:rFonts w:ascii="宋体" w:hAnsi="宋体" w:hint="eastAsia"/>
          <w:b/>
          <w:bCs/>
          <w:kern w:val="0"/>
          <w:sz w:val="21"/>
          <w:szCs w:val="21"/>
          <w:lang w:val="zh-CN"/>
        </w:rPr>
        <w:t>习总书记考察海南中科院深海所，再次强调</w:t>
      </w:r>
      <w:r>
        <w:rPr>
          <w:rFonts w:eastAsia="Times New Roman" w:cs="Times New Roman"/>
          <w:b/>
          <w:bCs/>
          <w:kern w:val="0"/>
          <w:sz w:val="21"/>
          <w:szCs w:val="21"/>
          <w:lang w:val="zh-CN"/>
        </w:rPr>
        <w:t>“</w:t>
      </w:r>
      <w:r>
        <w:rPr>
          <w:rFonts w:ascii="宋体" w:hAnsi="宋体" w:hint="eastAsia"/>
          <w:b/>
          <w:bCs/>
          <w:kern w:val="0"/>
          <w:sz w:val="21"/>
          <w:szCs w:val="21"/>
          <w:lang w:val="zh-CN"/>
        </w:rPr>
        <w:t>一定要向海洋进军，加快建设海洋强国</w:t>
      </w:r>
      <w:r>
        <w:rPr>
          <w:rFonts w:eastAsia="Times New Roman" w:cs="Times New Roman"/>
          <w:b/>
          <w:bCs/>
          <w:kern w:val="0"/>
          <w:sz w:val="21"/>
          <w:szCs w:val="21"/>
          <w:lang w:val="zh-CN"/>
        </w:rPr>
        <w:t>”</w:t>
      </w:r>
      <w:r>
        <w:rPr>
          <w:rFonts w:ascii="宋体" w:hAnsi="宋体" w:hint="eastAsia"/>
          <w:kern w:val="0"/>
          <w:sz w:val="21"/>
          <w:szCs w:val="21"/>
          <w:lang w:val="zh-CN"/>
        </w:rPr>
        <w:t>。</w:t>
      </w:r>
    </w:p>
    <w:p w:rsidR="00A9288A" w:rsidRDefault="007A4434">
      <w:pPr>
        <w:autoSpaceDE w:val="0"/>
        <w:autoSpaceDN w:val="0"/>
        <w:adjustRightInd w:val="0"/>
        <w:spacing w:before="0" w:after="0"/>
        <w:ind w:firstLine="420"/>
        <w:jc w:val="left"/>
        <w:rPr>
          <w:rFonts w:eastAsia="Times New Roman" w:cs="Times New Roman"/>
          <w:kern w:val="0"/>
          <w:sz w:val="21"/>
          <w:szCs w:val="21"/>
          <w:lang w:val="zh-CN"/>
        </w:rPr>
      </w:pPr>
      <w:r>
        <w:rPr>
          <w:rFonts w:eastAsia="Times New Roman" w:cs="Times New Roman"/>
          <w:kern w:val="0"/>
          <w:sz w:val="21"/>
          <w:szCs w:val="21"/>
          <w:lang w:val="zh-CN"/>
        </w:rPr>
        <w:t>2018</w:t>
      </w:r>
      <w:r>
        <w:rPr>
          <w:rFonts w:ascii="宋体" w:hAnsi="宋体" w:hint="eastAsia"/>
          <w:kern w:val="0"/>
          <w:sz w:val="21"/>
          <w:szCs w:val="21"/>
          <w:lang w:val="zh-CN"/>
        </w:rPr>
        <w:t>年</w:t>
      </w:r>
      <w:r>
        <w:rPr>
          <w:rFonts w:eastAsia="Times New Roman" w:cs="Times New Roman"/>
          <w:kern w:val="0"/>
          <w:sz w:val="21"/>
          <w:szCs w:val="21"/>
          <w:lang w:val="zh-CN"/>
        </w:rPr>
        <w:t>2</w:t>
      </w:r>
      <w:r>
        <w:rPr>
          <w:rFonts w:ascii="宋体" w:hAnsi="宋体" w:hint="eastAsia"/>
          <w:kern w:val="0"/>
          <w:sz w:val="21"/>
          <w:szCs w:val="21"/>
          <w:lang w:val="zh-CN"/>
        </w:rPr>
        <w:t>月</w:t>
      </w:r>
      <w:r>
        <w:rPr>
          <w:rFonts w:eastAsia="Times New Roman" w:cs="Times New Roman"/>
          <w:kern w:val="0"/>
          <w:sz w:val="21"/>
          <w:szCs w:val="21"/>
          <w:lang w:val="zh-CN"/>
        </w:rPr>
        <w:t>11</w:t>
      </w:r>
      <w:r>
        <w:rPr>
          <w:rFonts w:ascii="宋体" w:hAnsi="宋体" w:hint="eastAsia"/>
          <w:kern w:val="0"/>
          <w:sz w:val="21"/>
          <w:szCs w:val="21"/>
          <w:lang w:val="zh-CN"/>
        </w:rPr>
        <w:t>日，《人民日报》整版刊文，称中国迎来了海洋强国建设的历史机遇期，建设海洋强国正当其时。这是对中国海洋发展状况的一次集中审视，也是对国家海洋强国建设意义的一次积极表态。中国大陆海岸线长</w:t>
      </w:r>
      <w:r>
        <w:rPr>
          <w:rFonts w:eastAsia="Times New Roman" w:cs="Times New Roman"/>
          <w:kern w:val="0"/>
          <w:sz w:val="21"/>
          <w:szCs w:val="21"/>
          <w:lang w:val="zh-CN"/>
        </w:rPr>
        <w:t>1.8</w:t>
      </w:r>
      <w:r>
        <w:rPr>
          <w:rFonts w:ascii="宋体" w:hAnsi="宋体" w:hint="eastAsia"/>
          <w:kern w:val="0"/>
          <w:sz w:val="21"/>
          <w:szCs w:val="21"/>
          <w:lang w:val="zh-CN"/>
        </w:rPr>
        <w:t>万公里，面积</w:t>
      </w:r>
      <w:r>
        <w:rPr>
          <w:rFonts w:eastAsia="Times New Roman" w:cs="Times New Roman"/>
          <w:kern w:val="0"/>
          <w:sz w:val="21"/>
          <w:szCs w:val="21"/>
          <w:lang w:val="zh-CN"/>
        </w:rPr>
        <w:t>500</w:t>
      </w:r>
      <w:r>
        <w:rPr>
          <w:rFonts w:ascii="宋体" w:hAnsi="宋体" w:hint="eastAsia"/>
          <w:kern w:val="0"/>
          <w:sz w:val="21"/>
          <w:szCs w:val="21"/>
          <w:lang w:val="zh-CN"/>
        </w:rPr>
        <w:t>平方米以上的海岛</w:t>
      </w:r>
      <w:r>
        <w:rPr>
          <w:rFonts w:eastAsia="Times New Roman" w:cs="Times New Roman"/>
          <w:kern w:val="0"/>
          <w:sz w:val="21"/>
          <w:szCs w:val="21"/>
          <w:lang w:val="zh-CN"/>
        </w:rPr>
        <w:t>6900</w:t>
      </w:r>
      <w:r>
        <w:rPr>
          <w:rFonts w:ascii="宋体" w:hAnsi="宋体" w:hint="eastAsia"/>
          <w:kern w:val="0"/>
          <w:sz w:val="21"/>
          <w:szCs w:val="21"/>
          <w:lang w:val="zh-CN"/>
        </w:rPr>
        <w:t>多个，内水和领海面积</w:t>
      </w:r>
      <w:r>
        <w:rPr>
          <w:rFonts w:eastAsia="Times New Roman" w:cs="Times New Roman"/>
          <w:kern w:val="0"/>
          <w:sz w:val="21"/>
          <w:szCs w:val="21"/>
          <w:lang w:val="zh-CN"/>
        </w:rPr>
        <w:t>38</w:t>
      </w:r>
      <w:r>
        <w:rPr>
          <w:rFonts w:ascii="宋体" w:hAnsi="宋体" w:hint="eastAsia"/>
          <w:kern w:val="0"/>
          <w:sz w:val="21"/>
          <w:szCs w:val="21"/>
          <w:lang w:val="zh-CN"/>
        </w:rPr>
        <w:t>万平方公里，管辖的海域面积约</w:t>
      </w:r>
      <w:r>
        <w:rPr>
          <w:rFonts w:eastAsia="Times New Roman" w:cs="Times New Roman"/>
          <w:kern w:val="0"/>
          <w:sz w:val="21"/>
          <w:szCs w:val="21"/>
          <w:lang w:val="zh-CN"/>
        </w:rPr>
        <w:t>300</w:t>
      </w:r>
      <w:r>
        <w:rPr>
          <w:rFonts w:ascii="宋体" w:hAnsi="宋体" w:hint="eastAsia"/>
          <w:kern w:val="0"/>
          <w:sz w:val="21"/>
          <w:szCs w:val="21"/>
          <w:lang w:val="zh-CN"/>
        </w:rPr>
        <w:t>万平方公里，在海洋有着广泛的战略利益。党的十八大首度将建设海洋强国提升至国家发展战略高度，明确了</w:t>
      </w:r>
      <w:r>
        <w:rPr>
          <w:rFonts w:eastAsia="Times New Roman" w:cs="Times New Roman"/>
          <w:kern w:val="0"/>
          <w:sz w:val="21"/>
          <w:szCs w:val="21"/>
          <w:lang w:val="zh-CN"/>
        </w:rPr>
        <w:t>“</w:t>
      </w:r>
      <w:r>
        <w:rPr>
          <w:rFonts w:ascii="宋体" w:hAnsi="宋体" w:hint="eastAsia"/>
          <w:kern w:val="0"/>
          <w:sz w:val="21"/>
          <w:szCs w:val="21"/>
          <w:lang w:val="zh-CN"/>
        </w:rPr>
        <w:t>提高海洋资源开发能力，发展海洋经济，保护海洋生态环境，坚决维护国家海洋权益</w:t>
      </w:r>
      <w:r>
        <w:rPr>
          <w:rFonts w:eastAsia="Times New Roman" w:cs="Times New Roman"/>
          <w:kern w:val="0"/>
          <w:sz w:val="21"/>
          <w:szCs w:val="21"/>
          <w:lang w:val="zh-CN"/>
        </w:rPr>
        <w:t>”</w:t>
      </w:r>
      <w:r>
        <w:rPr>
          <w:rFonts w:ascii="宋体" w:hAnsi="宋体" w:hint="eastAsia"/>
          <w:kern w:val="0"/>
          <w:sz w:val="21"/>
          <w:szCs w:val="21"/>
          <w:lang w:val="zh-CN"/>
        </w:rPr>
        <w:t>四个战略支点。</w:t>
      </w:r>
      <w:r>
        <w:rPr>
          <w:rFonts w:eastAsia="Times New Roman" w:cs="Times New Roman"/>
          <w:kern w:val="0"/>
          <w:sz w:val="21"/>
          <w:szCs w:val="21"/>
          <w:lang w:val="zh-CN"/>
        </w:rPr>
        <w:t>2017</w:t>
      </w:r>
      <w:r>
        <w:rPr>
          <w:rFonts w:ascii="宋体" w:hAnsi="宋体" w:hint="eastAsia"/>
          <w:kern w:val="0"/>
          <w:sz w:val="21"/>
          <w:szCs w:val="21"/>
          <w:lang w:val="zh-CN"/>
        </w:rPr>
        <w:t>年，党的十九大重申：</w:t>
      </w:r>
      <w:r>
        <w:rPr>
          <w:rFonts w:eastAsia="Times New Roman" w:cs="Times New Roman"/>
          <w:kern w:val="0"/>
          <w:sz w:val="21"/>
          <w:szCs w:val="21"/>
          <w:lang w:val="zh-CN"/>
        </w:rPr>
        <w:t>“</w:t>
      </w:r>
      <w:r>
        <w:rPr>
          <w:rFonts w:ascii="宋体" w:hAnsi="宋体" w:hint="eastAsia"/>
          <w:kern w:val="0"/>
          <w:sz w:val="21"/>
          <w:szCs w:val="21"/>
          <w:lang w:val="zh-CN"/>
        </w:rPr>
        <w:t>坚持海陆统筹，加快建设海洋强国。</w:t>
      </w:r>
      <w:r>
        <w:rPr>
          <w:rFonts w:eastAsia="Times New Roman" w:cs="Times New Roman"/>
          <w:kern w:val="0"/>
          <w:sz w:val="21"/>
          <w:szCs w:val="21"/>
          <w:lang w:val="zh-CN"/>
        </w:rPr>
        <w:t>”</w:t>
      </w:r>
      <w:r>
        <w:rPr>
          <w:rFonts w:ascii="宋体" w:hAnsi="宋体" w:hint="eastAsia"/>
          <w:kern w:val="0"/>
          <w:sz w:val="21"/>
          <w:szCs w:val="21"/>
          <w:lang w:val="zh-CN"/>
        </w:rPr>
        <w:t>国务院和国家海洋局先后发布了</w:t>
      </w:r>
      <w:r>
        <w:rPr>
          <w:rFonts w:eastAsia="Times New Roman" w:cs="Times New Roman"/>
          <w:kern w:val="0"/>
          <w:sz w:val="21"/>
          <w:szCs w:val="21"/>
          <w:lang w:val="zh-CN"/>
        </w:rPr>
        <w:t>3</w:t>
      </w:r>
      <w:r>
        <w:rPr>
          <w:rFonts w:ascii="宋体" w:hAnsi="宋体" w:hint="eastAsia"/>
          <w:kern w:val="0"/>
          <w:sz w:val="21"/>
          <w:szCs w:val="21"/>
          <w:lang w:val="zh-CN"/>
        </w:rPr>
        <w:t>个与海洋国土相关的重要文件，强调了海洋国土在国家发展战略中的重要地位。</w:t>
      </w:r>
    </w:p>
    <w:p w:rsidR="00A9288A" w:rsidRDefault="007A4434">
      <w:pPr>
        <w:autoSpaceDE w:val="0"/>
        <w:autoSpaceDN w:val="0"/>
        <w:adjustRightInd w:val="0"/>
        <w:spacing w:before="0" w:after="0"/>
        <w:ind w:firstLine="420"/>
        <w:jc w:val="left"/>
        <w:rPr>
          <w:rFonts w:eastAsia="Times New Roman" w:cs="Times New Roman"/>
          <w:kern w:val="0"/>
          <w:sz w:val="21"/>
          <w:szCs w:val="21"/>
          <w:lang w:val="zh-CN"/>
        </w:rPr>
      </w:pPr>
      <w:r>
        <w:rPr>
          <w:rFonts w:ascii="宋体" w:hAnsi="宋体" w:hint="eastAsia"/>
          <w:kern w:val="0"/>
          <w:sz w:val="21"/>
          <w:szCs w:val="21"/>
          <w:lang w:val="zh-CN"/>
        </w:rPr>
        <w:t>近年来海洋经济也成为新增长点，国家海洋局近日对外发布了《</w:t>
      </w:r>
      <w:r>
        <w:rPr>
          <w:rFonts w:eastAsia="Times New Roman" w:cs="Times New Roman"/>
          <w:kern w:val="0"/>
          <w:sz w:val="21"/>
          <w:szCs w:val="21"/>
          <w:lang w:val="zh-CN"/>
        </w:rPr>
        <w:t>2017</w:t>
      </w:r>
      <w:r>
        <w:rPr>
          <w:rFonts w:ascii="宋体" w:hAnsi="宋体" w:hint="eastAsia"/>
          <w:kern w:val="0"/>
          <w:sz w:val="21"/>
          <w:szCs w:val="21"/>
          <w:lang w:val="zh-CN"/>
        </w:rPr>
        <w:t>年中国海洋经济统计公报》</w:t>
      </w:r>
      <w:r>
        <w:rPr>
          <w:rFonts w:eastAsia="Times New Roman" w:cs="Times New Roman"/>
          <w:kern w:val="0"/>
          <w:sz w:val="21"/>
          <w:szCs w:val="21"/>
          <w:lang w:val="zh-CN"/>
        </w:rPr>
        <w:t>(</w:t>
      </w:r>
      <w:r>
        <w:rPr>
          <w:rFonts w:ascii="宋体" w:hAnsi="宋体" w:hint="eastAsia"/>
          <w:kern w:val="0"/>
          <w:sz w:val="21"/>
          <w:szCs w:val="21"/>
          <w:lang w:val="zh-CN"/>
        </w:rPr>
        <w:t>以下简称《公报》</w:t>
      </w:r>
      <w:r>
        <w:rPr>
          <w:rFonts w:eastAsia="Times New Roman" w:cs="Times New Roman"/>
          <w:kern w:val="0"/>
          <w:sz w:val="21"/>
          <w:szCs w:val="21"/>
          <w:lang w:val="zh-CN"/>
        </w:rPr>
        <w:t>)</w:t>
      </w:r>
      <w:r>
        <w:rPr>
          <w:rFonts w:ascii="宋体" w:hAnsi="宋体" w:hint="eastAsia"/>
          <w:kern w:val="0"/>
          <w:sz w:val="21"/>
          <w:szCs w:val="21"/>
          <w:lang w:val="zh-CN"/>
        </w:rPr>
        <w:t>。《公报》显示，海洋新兴产业发展势头良好，第三产业海洋服务业比重持续提高。海洋科技与经济的发展，都得益于海洋调查、海洋监测、海洋勘探和航海技术等领域的不断进步。随着我国海洋</w:t>
      </w:r>
      <w:r>
        <w:rPr>
          <w:rFonts w:ascii="宋体" w:hAnsi="宋体" w:hint="eastAsia"/>
          <w:kern w:val="0"/>
          <w:sz w:val="21"/>
          <w:szCs w:val="21"/>
          <w:lang w:val="zh-CN"/>
        </w:rPr>
        <w:lastRenderedPageBreak/>
        <w:t>经济的迅速发展，</w:t>
      </w:r>
      <w:r>
        <w:rPr>
          <w:rFonts w:eastAsia="Times New Roman" w:cs="Times New Roman"/>
          <w:kern w:val="0"/>
          <w:sz w:val="21"/>
          <w:szCs w:val="21"/>
          <w:lang w:val="zh-CN"/>
        </w:rPr>
        <w:t>“</w:t>
      </w:r>
      <w:r>
        <w:rPr>
          <w:rFonts w:ascii="宋体" w:hAnsi="宋体" w:hint="eastAsia"/>
          <w:kern w:val="0"/>
          <w:sz w:val="21"/>
          <w:szCs w:val="21"/>
          <w:lang w:val="zh-CN"/>
        </w:rPr>
        <w:t>丝绸之路经济带</w:t>
      </w:r>
      <w:r>
        <w:rPr>
          <w:rFonts w:eastAsia="Times New Roman" w:cs="Times New Roman"/>
          <w:kern w:val="0"/>
          <w:sz w:val="21"/>
          <w:szCs w:val="21"/>
          <w:lang w:val="zh-CN"/>
        </w:rPr>
        <w:t>”</w:t>
      </w:r>
      <w:r>
        <w:rPr>
          <w:rFonts w:ascii="宋体" w:hAnsi="宋体" w:hint="eastAsia"/>
          <w:kern w:val="0"/>
          <w:sz w:val="21"/>
          <w:szCs w:val="21"/>
          <w:lang w:val="zh-CN"/>
        </w:rPr>
        <w:t>和</w:t>
      </w:r>
      <w:r>
        <w:rPr>
          <w:rFonts w:eastAsia="Times New Roman" w:cs="Times New Roman"/>
          <w:kern w:val="0"/>
          <w:sz w:val="21"/>
          <w:szCs w:val="21"/>
          <w:lang w:val="zh-CN"/>
        </w:rPr>
        <w:t>“21</w:t>
      </w:r>
      <w:r>
        <w:rPr>
          <w:rFonts w:ascii="宋体" w:hAnsi="宋体" w:hint="eastAsia"/>
          <w:kern w:val="0"/>
          <w:sz w:val="21"/>
          <w:szCs w:val="21"/>
          <w:lang w:val="zh-CN"/>
        </w:rPr>
        <w:t>世纪海上丝绸之路</w:t>
      </w:r>
      <w:r>
        <w:rPr>
          <w:rFonts w:eastAsia="Times New Roman" w:cs="Times New Roman"/>
          <w:kern w:val="0"/>
          <w:sz w:val="21"/>
          <w:szCs w:val="21"/>
          <w:lang w:val="zh-CN"/>
        </w:rPr>
        <w:t>”</w:t>
      </w:r>
      <w:r>
        <w:rPr>
          <w:rFonts w:ascii="宋体" w:hAnsi="宋体" w:hint="eastAsia"/>
          <w:kern w:val="0"/>
          <w:sz w:val="21"/>
          <w:szCs w:val="21"/>
          <w:lang w:val="zh-CN"/>
        </w:rPr>
        <w:t>（</w:t>
      </w:r>
      <w:r>
        <w:rPr>
          <w:rFonts w:eastAsia="Times New Roman" w:cs="Times New Roman"/>
          <w:kern w:val="0"/>
          <w:sz w:val="21"/>
          <w:szCs w:val="21"/>
          <w:lang w:val="zh-CN"/>
        </w:rPr>
        <w:t>“</w:t>
      </w:r>
      <w:r>
        <w:rPr>
          <w:rFonts w:ascii="宋体" w:hAnsi="宋体" w:hint="eastAsia"/>
          <w:kern w:val="0"/>
          <w:sz w:val="21"/>
          <w:szCs w:val="21"/>
          <w:lang w:val="zh-CN"/>
        </w:rPr>
        <w:t>一带一路</w:t>
      </w:r>
      <w:r>
        <w:rPr>
          <w:rFonts w:eastAsia="Times New Roman" w:cs="Times New Roman"/>
          <w:kern w:val="0"/>
          <w:sz w:val="21"/>
          <w:szCs w:val="21"/>
          <w:lang w:val="zh-CN"/>
        </w:rPr>
        <w:t>”</w:t>
      </w:r>
      <w:r>
        <w:rPr>
          <w:rFonts w:ascii="宋体" w:hAnsi="宋体" w:hint="eastAsia"/>
          <w:kern w:val="0"/>
          <w:sz w:val="21"/>
          <w:szCs w:val="21"/>
          <w:lang w:val="zh-CN"/>
        </w:rPr>
        <w:t>）建设、亚太互联互通、长江经济带发展等国家重大战略举措布局实施，对高端海洋技术服务的需求也将飞速增长。</w:t>
      </w:r>
    </w:p>
    <w:p w:rsidR="00A9288A" w:rsidRDefault="00A3705B">
      <w:pPr>
        <w:autoSpaceDE w:val="0"/>
        <w:autoSpaceDN w:val="0"/>
        <w:adjustRightInd w:val="0"/>
        <w:spacing w:before="0" w:after="0"/>
        <w:ind w:firstLine="420"/>
        <w:rPr>
          <w:rFonts w:eastAsia="Times New Roman" w:cs="Times New Roman"/>
          <w:kern w:val="0"/>
          <w:sz w:val="21"/>
          <w:szCs w:val="21"/>
          <w:lang w:val="zh-CN"/>
        </w:rPr>
      </w:pPr>
      <w:r>
        <w:rPr>
          <w:rFonts w:eastAsia="Times New Roman" w:cs="Times New Roman"/>
          <w:kern w:val="0"/>
          <w:sz w:val="21"/>
          <w:szCs w:val="21"/>
          <w:lang w:val="zh-CN"/>
        </w:rPr>
        <w:pict>
          <v:shape id="图片 3" o:spid="_x0000_i1028" type="#_x0000_t75" style="width:209.4pt;height:128.4pt;mso-wrap-style:square;mso-position-horizontal-relative:page;mso-position-vertical-relative:page">
            <v:imagedata r:id="rId10" o:title=""/>
          </v:shape>
        </w:pict>
      </w:r>
      <w:r w:rsidR="004E6855">
        <w:rPr>
          <w:rFonts w:eastAsia="Times New Roman" w:cs="Times New Roman"/>
          <w:kern w:val="0"/>
          <w:sz w:val="21"/>
          <w:szCs w:val="21"/>
          <w:lang w:val="zh-CN"/>
        </w:rPr>
        <w:pict>
          <v:shape id="图片 4" o:spid="_x0000_i1029" type="#_x0000_t75" style="width:192pt;height:136.8pt;mso-wrap-style:square;mso-position-horizontal-relative:page;mso-position-vertical-relative:page">
            <v:imagedata r:id="rId11" o:title=""/>
          </v:shape>
        </w:pict>
      </w:r>
    </w:p>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eastAsia="Times New Roman" w:cs="Times New Roman"/>
          <w:b/>
          <w:bCs/>
          <w:kern w:val="0"/>
          <w:sz w:val="21"/>
          <w:szCs w:val="21"/>
          <w:lang w:val="zh-CN"/>
        </w:rPr>
        <w:t>2</w:t>
      </w:r>
      <w:r>
        <w:rPr>
          <w:rFonts w:ascii="宋体" w:hAnsi="宋体" w:hint="eastAsia"/>
          <w:b/>
          <w:bCs/>
          <w:kern w:val="0"/>
          <w:sz w:val="21"/>
          <w:szCs w:val="21"/>
          <w:lang w:val="zh-CN"/>
        </w:rPr>
        <w:t>）国内核心传感器依赖进口，现有观测网络无法形成业务化应用，具有较大市场空间</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我国在海洋信息化方面起步较晚，前几十年在海洋科技领域的投入较少，与发达国家仍存较大差距，尤其是核心传感器方面，如重、磁、电、震、声等仪器设备，几乎全部依赖进口；同时我国的海洋观测建设虽然已经进入起步阶段，但已有和在建的项目仍处于分散、孤立的状态，技术及产品支撑不足。在海底观测网领域，国外海底观测网技术已基本成熟，部分海底观测系统实现了业务化运行，加（</w:t>
      </w:r>
      <w:r>
        <w:rPr>
          <w:rFonts w:eastAsia="Times New Roman" w:cs="Times New Roman"/>
          <w:kern w:val="0"/>
          <w:sz w:val="21"/>
          <w:szCs w:val="21"/>
          <w:lang w:val="zh-CN"/>
        </w:rPr>
        <w:t>NEPTUNE</w:t>
      </w:r>
      <w:r>
        <w:rPr>
          <w:rFonts w:ascii="宋体" w:hAnsi="宋体" w:hint="eastAsia"/>
          <w:kern w:val="0"/>
          <w:sz w:val="21"/>
          <w:szCs w:val="21"/>
          <w:lang w:val="zh-CN"/>
        </w:rPr>
        <w:t>）、美（</w:t>
      </w:r>
      <w:r>
        <w:rPr>
          <w:rFonts w:eastAsia="Times New Roman" w:cs="Times New Roman"/>
          <w:kern w:val="0"/>
          <w:sz w:val="21"/>
          <w:szCs w:val="21"/>
          <w:lang w:val="zh-CN"/>
        </w:rPr>
        <w:t>OOI</w:t>
      </w:r>
      <w:r>
        <w:rPr>
          <w:rFonts w:ascii="宋体" w:hAnsi="宋体" w:hint="eastAsia"/>
          <w:kern w:val="0"/>
          <w:sz w:val="21"/>
          <w:szCs w:val="21"/>
          <w:lang w:val="zh-CN"/>
        </w:rPr>
        <w:t>）、日（</w:t>
      </w:r>
      <w:r>
        <w:rPr>
          <w:rFonts w:eastAsia="Times New Roman" w:cs="Times New Roman"/>
          <w:kern w:val="0"/>
          <w:sz w:val="21"/>
          <w:szCs w:val="21"/>
          <w:lang w:val="zh-CN"/>
        </w:rPr>
        <w:t>DONET</w:t>
      </w:r>
      <w:r>
        <w:rPr>
          <w:rFonts w:ascii="宋体" w:hAnsi="宋体" w:hint="eastAsia"/>
          <w:kern w:val="0"/>
          <w:sz w:val="21"/>
          <w:szCs w:val="21"/>
          <w:lang w:val="zh-CN"/>
        </w:rPr>
        <w:t>）、欧洲（</w:t>
      </w:r>
      <w:r>
        <w:rPr>
          <w:rFonts w:eastAsia="Times New Roman" w:cs="Times New Roman"/>
          <w:kern w:val="0"/>
          <w:sz w:val="21"/>
          <w:szCs w:val="21"/>
          <w:lang w:val="zh-CN"/>
        </w:rPr>
        <w:t>EMSO</w:t>
      </w:r>
      <w:r>
        <w:rPr>
          <w:rFonts w:ascii="宋体" w:hAnsi="宋体" w:hint="eastAsia"/>
          <w:kern w:val="0"/>
          <w:sz w:val="21"/>
          <w:szCs w:val="21"/>
          <w:lang w:val="zh-CN"/>
        </w:rPr>
        <w:t>）等海底观测网和观测站的建设和持续运行，为海底观测网技术的进一步发展奠定了基础；国内的海底观测网，同业务化观测运行还有较大差距。</w:t>
      </w:r>
    </w:p>
    <w:p w:rsidR="00A9288A" w:rsidRDefault="007A4434">
      <w:pPr>
        <w:autoSpaceDE w:val="0"/>
        <w:autoSpaceDN w:val="0"/>
        <w:adjustRightInd w:val="0"/>
        <w:spacing w:before="0" w:after="0"/>
        <w:ind w:firstLine="420"/>
        <w:jc w:val="left"/>
        <w:rPr>
          <w:rFonts w:eastAsia="Times New Roman" w:cs="Times New Roman"/>
          <w:kern w:val="0"/>
          <w:sz w:val="21"/>
          <w:szCs w:val="21"/>
          <w:lang w:val="zh-CN"/>
        </w:rPr>
      </w:pPr>
      <w:r>
        <w:rPr>
          <w:rFonts w:ascii="宋体" w:hAnsi="宋体" w:hint="eastAsia"/>
          <w:kern w:val="0"/>
          <w:sz w:val="21"/>
          <w:szCs w:val="21"/>
          <w:lang w:val="zh-CN"/>
        </w:rPr>
        <w:t>国家实施建设海洋观测网所收集的海洋实时气象、海流、气压等数据能够为国家的海战策略制定提供更加详实的信息支撑，海洋环境对海战有着重要意义已是当前海洋军事策略研究的共识。同时一带一路中也提及加大对沿线发展中国家海洋观测监测基础设施的技术和设备援助。因此，海洋信息化领域处于国家海洋高技术领域</w:t>
      </w:r>
      <w:r>
        <w:rPr>
          <w:rFonts w:eastAsia="Times New Roman" w:cs="Times New Roman"/>
          <w:kern w:val="0"/>
          <w:sz w:val="21"/>
          <w:szCs w:val="21"/>
          <w:lang w:val="zh-CN"/>
        </w:rPr>
        <w:t>20</w:t>
      </w:r>
      <w:r>
        <w:rPr>
          <w:rFonts w:ascii="宋体" w:hAnsi="宋体" w:hint="eastAsia"/>
          <w:kern w:val="0"/>
          <w:sz w:val="21"/>
          <w:szCs w:val="21"/>
          <w:lang w:val="zh-CN"/>
        </w:rPr>
        <w:t>余年积累后的行业高速发展、需求爆发式增长的前期。</w:t>
      </w:r>
    </w:p>
    <w:p w:rsidR="00A9288A" w:rsidRDefault="007A4434">
      <w:pPr>
        <w:autoSpaceDE w:val="0"/>
        <w:autoSpaceDN w:val="0"/>
        <w:adjustRightInd w:val="0"/>
        <w:spacing w:before="0" w:after="0"/>
        <w:ind w:firstLine="420"/>
        <w:jc w:val="left"/>
        <w:rPr>
          <w:rFonts w:eastAsia="Times New Roman" w:cs="Times New Roman"/>
          <w:kern w:val="0"/>
          <w:sz w:val="21"/>
          <w:szCs w:val="21"/>
          <w:lang w:val="zh-CN"/>
        </w:rPr>
      </w:pPr>
      <w:r>
        <w:rPr>
          <w:rFonts w:ascii="宋体" w:hAnsi="宋体" w:hint="eastAsia"/>
          <w:kern w:val="0"/>
          <w:sz w:val="21"/>
          <w:szCs w:val="21"/>
          <w:lang w:val="zh-CN"/>
        </w:rPr>
        <w:t>目前，公司智慧海洋业务主要包括海洋观（监）测与海洋调查、海洋信息服务：</w:t>
      </w:r>
    </w:p>
    <w:p w:rsidR="00A9288A" w:rsidRDefault="007A4434">
      <w:pPr>
        <w:autoSpaceDE w:val="0"/>
        <w:autoSpaceDN w:val="0"/>
        <w:adjustRightInd w:val="0"/>
        <w:spacing w:before="0" w:after="0"/>
        <w:ind w:firstLine="420"/>
        <w:jc w:val="left"/>
        <w:rPr>
          <w:rFonts w:eastAsia="Times New Roman" w:cs="Times New Roman"/>
          <w:kern w:val="0"/>
          <w:sz w:val="21"/>
          <w:szCs w:val="21"/>
          <w:lang w:val="zh-CN"/>
        </w:rPr>
      </w:pPr>
      <w:r>
        <w:rPr>
          <w:rFonts w:eastAsia="Times New Roman" w:cs="Times New Roman"/>
          <w:kern w:val="0"/>
          <w:sz w:val="21"/>
          <w:szCs w:val="21"/>
          <w:lang w:val="zh-CN"/>
        </w:rPr>
        <w:t>1</w:t>
      </w:r>
      <w:r>
        <w:rPr>
          <w:rFonts w:ascii="宋体" w:hAnsi="宋体" w:hint="eastAsia"/>
          <w:kern w:val="0"/>
          <w:sz w:val="21"/>
          <w:szCs w:val="21"/>
          <w:lang w:val="zh-CN"/>
        </w:rPr>
        <w:t>）海洋观（监）测业务为市场拓展期，主要依托以极小目标探测雷达技术为核心的智能雷达监控系统及溢油探测、海浪探测雷达等产品，应用于岸基和船载</w:t>
      </w:r>
      <w:r>
        <w:rPr>
          <w:rFonts w:eastAsia="Times New Roman" w:cs="Times New Roman"/>
          <w:kern w:val="0"/>
          <w:sz w:val="21"/>
          <w:szCs w:val="21"/>
          <w:lang w:val="zh-CN"/>
        </w:rPr>
        <w:t>/</w:t>
      </w:r>
      <w:r>
        <w:rPr>
          <w:rFonts w:ascii="宋体" w:hAnsi="宋体" w:hint="eastAsia"/>
          <w:kern w:val="0"/>
          <w:sz w:val="21"/>
          <w:szCs w:val="21"/>
          <w:lang w:val="zh-CN"/>
        </w:rPr>
        <w:t>舰载对海监控领域，为监控海域的行动部署提供高度融合的实时信息，实现港口监控、海域监控、岛礁监控、海上平台监控、海上搜救执法等综合管理功能。针对当前全国沿海省市涉海监控信息无法实现全国统一的市场瓶颈，目前我公司近海雷达综合观监测系统已经在全国主要沿海省市完成了覆盖，近年有望协同战略合作伙伴通过监控站点补盲以及数据信息系统的全国联网，将近海雷达监控网打造成为全国</w:t>
      </w:r>
      <w:r>
        <w:rPr>
          <w:rFonts w:eastAsia="Times New Roman" w:cs="Times New Roman"/>
          <w:kern w:val="0"/>
          <w:sz w:val="21"/>
          <w:szCs w:val="21"/>
          <w:lang w:val="zh-CN"/>
        </w:rPr>
        <w:t>“</w:t>
      </w:r>
      <w:r>
        <w:rPr>
          <w:rFonts w:ascii="宋体" w:hAnsi="宋体" w:hint="eastAsia"/>
          <w:kern w:val="0"/>
          <w:sz w:val="21"/>
          <w:szCs w:val="21"/>
          <w:lang w:val="zh-CN"/>
        </w:rPr>
        <w:t>一张网</w:t>
      </w:r>
      <w:r>
        <w:rPr>
          <w:rFonts w:eastAsia="Times New Roman" w:cs="Times New Roman"/>
          <w:kern w:val="0"/>
          <w:sz w:val="21"/>
          <w:szCs w:val="21"/>
          <w:lang w:val="zh-CN"/>
        </w:rPr>
        <w:t>”</w:t>
      </w:r>
      <w:r>
        <w:rPr>
          <w:rFonts w:ascii="宋体" w:hAnsi="宋体" w:hint="eastAsia"/>
          <w:kern w:val="0"/>
          <w:sz w:val="21"/>
          <w:szCs w:val="21"/>
          <w:lang w:val="zh-CN"/>
        </w:rPr>
        <w:t>。后续依托</w:t>
      </w:r>
      <w:r>
        <w:rPr>
          <w:rFonts w:eastAsia="Times New Roman" w:cs="Times New Roman"/>
          <w:kern w:val="0"/>
          <w:sz w:val="21"/>
          <w:szCs w:val="21"/>
          <w:lang w:val="zh-CN"/>
        </w:rPr>
        <w:t>“</w:t>
      </w:r>
      <w:r>
        <w:rPr>
          <w:rFonts w:ascii="宋体" w:hAnsi="宋体" w:hint="eastAsia"/>
          <w:kern w:val="0"/>
          <w:sz w:val="21"/>
          <w:szCs w:val="21"/>
          <w:lang w:val="zh-CN"/>
        </w:rPr>
        <w:t>志愿船观测系统</w:t>
      </w:r>
      <w:r>
        <w:rPr>
          <w:rFonts w:eastAsia="Times New Roman" w:cs="Times New Roman"/>
          <w:kern w:val="0"/>
          <w:sz w:val="21"/>
          <w:szCs w:val="21"/>
          <w:lang w:val="zh-CN"/>
        </w:rPr>
        <w:t>”</w:t>
      </w:r>
      <w:r>
        <w:rPr>
          <w:rFonts w:ascii="宋体" w:hAnsi="宋体" w:hint="eastAsia"/>
          <w:kern w:val="0"/>
          <w:sz w:val="21"/>
          <w:szCs w:val="21"/>
          <w:lang w:val="zh-CN"/>
        </w:rPr>
        <w:t>，并引入其他海洋观测</w:t>
      </w:r>
      <w:r>
        <w:rPr>
          <w:rFonts w:eastAsia="Times New Roman" w:cs="Times New Roman"/>
          <w:kern w:val="0"/>
          <w:sz w:val="21"/>
          <w:szCs w:val="21"/>
          <w:lang w:val="zh-CN"/>
        </w:rPr>
        <w:t>/</w:t>
      </w:r>
      <w:r>
        <w:rPr>
          <w:rFonts w:ascii="宋体" w:hAnsi="宋体" w:hint="eastAsia"/>
          <w:kern w:val="0"/>
          <w:sz w:val="21"/>
          <w:szCs w:val="21"/>
          <w:lang w:val="zh-CN"/>
        </w:rPr>
        <w:t>监测</w:t>
      </w:r>
      <w:r>
        <w:rPr>
          <w:rFonts w:eastAsia="Times New Roman" w:cs="Times New Roman"/>
          <w:kern w:val="0"/>
          <w:sz w:val="21"/>
          <w:szCs w:val="21"/>
          <w:lang w:val="zh-CN"/>
        </w:rPr>
        <w:t>/</w:t>
      </w:r>
      <w:r>
        <w:rPr>
          <w:rFonts w:ascii="宋体" w:hAnsi="宋体" w:hint="eastAsia"/>
          <w:kern w:val="0"/>
          <w:sz w:val="21"/>
          <w:szCs w:val="21"/>
          <w:lang w:val="zh-CN"/>
        </w:rPr>
        <w:t>探测手段和数据，进一步覆盖中国南海岛礁、中远海、海上丝绸之路等区域。未来随着国家海域海岛维权、维稳需要，以及国家</w:t>
      </w:r>
      <w:r>
        <w:rPr>
          <w:rFonts w:eastAsia="Times New Roman" w:cs="Times New Roman"/>
          <w:kern w:val="0"/>
          <w:sz w:val="21"/>
          <w:szCs w:val="21"/>
          <w:lang w:val="zh-CN"/>
        </w:rPr>
        <w:t>“</w:t>
      </w:r>
      <w:r>
        <w:rPr>
          <w:rFonts w:ascii="宋体" w:hAnsi="宋体" w:hint="eastAsia"/>
          <w:kern w:val="0"/>
          <w:sz w:val="21"/>
          <w:szCs w:val="21"/>
          <w:lang w:val="zh-CN"/>
        </w:rPr>
        <w:t>一带一路</w:t>
      </w:r>
      <w:r>
        <w:rPr>
          <w:rFonts w:eastAsia="Times New Roman" w:cs="Times New Roman"/>
          <w:kern w:val="0"/>
          <w:sz w:val="21"/>
          <w:szCs w:val="21"/>
          <w:lang w:val="zh-CN"/>
        </w:rPr>
        <w:t>”</w:t>
      </w:r>
      <w:r>
        <w:rPr>
          <w:rFonts w:ascii="宋体" w:hAnsi="宋体" w:hint="eastAsia"/>
          <w:kern w:val="0"/>
          <w:sz w:val="21"/>
          <w:szCs w:val="21"/>
          <w:lang w:val="zh-CN"/>
        </w:rPr>
        <w:t>战略实施发展港口及海岸重点区域监控业务的需求快速提升，市场规模可期。</w:t>
      </w:r>
    </w:p>
    <w:p w:rsidR="00A9288A" w:rsidRDefault="007A4434">
      <w:pPr>
        <w:autoSpaceDE w:val="0"/>
        <w:autoSpaceDN w:val="0"/>
        <w:adjustRightInd w:val="0"/>
        <w:spacing w:before="0" w:after="0"/>
        <w:ind w:firstLine="420"/>
        <w:jc w:val="left"/>
        <w:rPr>
          <w:rFonts w:eastAsia="Times New Roman" w:cs="Times New Roman"/>
          <w:kern w:val="0"/>
          <w:sz w:val="21"/>
          <w:szCs w:val="21"/>
          <w:lang w:val="zh-CN"/>
        </w:rPr>
      </w:pPr>
      <w:r>
        <w:rPr>
          <w:rFonts w:eastAsia="Times New Roman" w:cs="Times New Roman"/>
          <w:kern w:val="0"/>
          <w:sz w:val="21"/>
          <w:szCs w:val="21"/>
          <w:lang w:val="zh-CN"/>
        </w:rPr>
        <w:t>2</w:t>
      </w:r>
      <w:r>
        <w:rPr>
          <w:rFonts w:ascii="宋体" w:hAnsi="宋体" w:hint="eastAsia"/>
          <w:kern w:val="0"/>
          <w:sz w:val="21"/>
          <w:szCs w:val="21"/>
          <w:lang w:val="zh-CN"/>
        </w:rPr>
        <w:t>）海洋调查业务稳定且潜力巨大，公司海洋调查业务的主体为劳雷产业，该公司是国内最大的海洋调查仪器应用与系统集成服务公司，在细分领域深耕多年，拥有国内领先的传感器市场份额，能够联合世界上的知名仪器生产厂家及科研院所，提供一流的海洋调查仪器和系统解决方案，帮助大量客户完成了数个重大国家科学项目和工程项目，客户覆盖了国家海洋局、水利部、测绘研究所等在内的全国大部分海洋调查领域客户群。</w:t>
      </w:r>
    </w:p>
    <w:p w:rsidR="00A9288A" w:rsidRDefault="007A4434">
      <w:pPr>
        <w:autoSpaceDE w:val="0"/>
        <w:autoSpaceDN w:val="0"/>
        <w:adjustRightInd w:val="0"/>
        <w:spacing w:before="0" w:after="0"/>
        <w:ind w:firstLine="420"/>
        <w:jc w:val="left"/>
        <w:rPr>
          <w:rFonts w:eastAsia="Times New Roman" w:cs="Times New Roman"/>
          <w:kern w:val="0"/>
          <w:sz w:val="21"/>
          <w:szCs w:val="21"/>
          <w:lang w:val="zh-CN"/>
        </w:rPr>
      </w:pPr>
      <w:r>
        <w:rPr>
          <w:rFonts w:eastAsia="Times New Roman" w:cs="Times New Roman"/>
          <w:kern w:val="0"/>
          <w:sz w:val="21"/>
          <w:szCs w:val="21"/>
          <w:lang w:val="zh-CN"/>
        </w:rPr>
        <w:t>3</w:t>
      </w:r>
      <w:r>
        <w:rPr>
          <w:rFonts w:ascii="宋体" w:hAnsi="宋体" w:hint="eastAsia"/>
          <w:kern w:val="0"/>
          <w:sz w:val="21"/>
          <w:szCs w:val="21"/>
          <w:lang w:val="zh-CN"/>
        </w:rPr>
        <w:t>）海洋信息服务业务处于市场上升期，公司海洋信息服务业务的主体为上市公司本部与广东蓝图。上市公司本部通过自主的智能雷达监控系统及溢油探测、海浪探测雷达等产品为客户提供溢油监测、海浪监测、浮冰监测等海洋信息服务；同时基于多年船舶航行相关数据积累，结合劳雷产业多年海洋观测装备应用与系统集成服务能力，针对国内缺失高端传感的关键技术进行国产化开发升级与产业化，并通过海洋立体监测、多源海洋信息融合、海洋大数据信息服务、海洋数值模拟预报与可视化技术，正在积极筹建海洋信息的综合交换和信息共享平台，建立海洋立体信息网络平台，为打造海洋大数据研发中心奠定基础。广东蓝图是国内为数不多的专注海洋领域的软件信息服务公司，目前在海洋综合管控、海域海岛管理、监</w:t>
      </w:r>
      <w:r>
        <w:rPr>
          <w:rFonts w:ascii="宋体" w:hAnsi="宋体" w:hint="eastAsia"/>
          <w:kern w:val="0"/>
          <w:sz w:val="21"/>
          <w:szCs w:val="21"/>
          <w:lang w:val="zh-CN"/>
        </w:rPr>
        <w:lastRenderedPageBreak/>
        <w:t>视监测等细分领域拥有较为完善的解决方案和较多的成熟项目案例，尤其是核心业务海域和海岛动态监视监测在国内拥有较高的市场占有率和用户知名度。广东蓝图信息系统已经逐步将劳雷产业及海兰信相关产品嵌入进去，为客户提供从系统设计、软件开发、调查仪器、系统解决方案、海洋数据收集、管理、挖掘等全链条价值服务。</w:t>
      </w:r>
    </w:p>
    <w:p w:rsidR="00A9288A" w:rsidRDefault="007A4434">
      <w:pPr>
        <w:autoSpaceDE w:val="0"/>
        <w:autoSpaceDN w:val="0"/>
        <w:adjustRightInd w:val="0"/>
        <w:spacing w:before="0" w:after="0"/>
        <w:ind w:firstLine="420"/>
        <w:jc w:val="left"/>
        <w:rPr>
          <w:rFonts w:eastAsia="Times New Roman" w:cs="Times New Roman"/>
          <w:kern w:val="0"/>
          <w:sz w:val="21"/>
          <w:szCs w:val="21"/>
          <w:lang w:val="zh-CN"/>
        </w:rPr>
      </w:pPr>
      <w:r>
        <w:rPr>
          <w:rFonts w:ascii="宋体" w:hAnsi="宋体" w:hint="eastAsia"/>
          <w:kern w:val="0"/>
          <w:sz w:val="21"/>
          <w:szCs w:val="21"/>
          <w:lang w:val="zh-CN"/>
        </w:rPr>
        <w:t>十九大后海洋调查等一系列重大海洋专项活动实质性工作已经启动，</w:t>
      </w:r>
      <w:r>
        <w:rPr>
          <w:rFonts w:eastAsia="Times New Roman" w:cs="Times New Roman"/>
          <w:kern w:val="0"/>
          <w:sz w:val="21"/>
          <w:szCs w:val="21"/>
          <w:lang w:val="zh-CN"/>
        </w:rPr>
        <w:t xml:space="preserve">2017 </w:t>
      </w:r>
      <w:r>
        <w:rPr>
          <w:rFonts w:ascii="宋体" w:hAnsi="宋体" w:hint="eastAsia"/>
          <w:kern w:val="0"/>
          <w:sz w:val="21"/>
          <w:szCs w:val="21"/>
          <w:lang w:val="zh-CN"/>
        </w:rPr>
        <w:t>年底发改委批复关于海底科学观测网项目建议书，海洋观测领域对海底接驳设备等方面有了较为明确的市场需求，</w:t>
      </w:r>
      <w:r>
        <w:rPr>
          <w:rFonts w:eastAsia="Times New Roman" w:cs="Times New Roman"/>
          <w:kern w:val="0"/>
          <w:sz w:val="21"/>
          <w:szCs w:val="21"/>
          <w:lang w:val="zh-CN"/>
        </w:rPr>
        <w:t>“</w:t>
      </w:r>
      <w:r>
        <w:rPr>
          <w:rFonts w:ascii="宋体" w:hAnsi="宋体" w:hint="eastAsia"/>
          <w:kern w:val="0"/>
          <w:sz w:val="21"/>
          <w:szCs w:val="21"/>
          <w:lang w:val="zh-CN"/>
        </w:rPr>
        <w:t>智慧海洋</w:t>
      </w:r>
      <w:r>
        <w:rPr>
          <w:rFonts w:eastAsia="Times New Roman" w:cs="Times New Roman"/>
          <w:kern w:val="0"/>
          <w:sz w:val="21"/>
          <w:szCs w:val="21"/>
          <w:lang w:val="zh-CN"/>
        </w:rPr>
        <w:t>”</w:t>
      </w:r>
      <w:r>
        <w:rPr>
          <w:rFonts w:ascii="宋体" w:hAnsi="宋体" w:hint="eastAsia"/>
          <w:kern w:val="0"/>
          <w:sz w:val="21"/>
          <w:szCs w:val="21"/>
          <w:lang w:val="zh-CN"/>
        </w:rPr>
        <w:t>工程建设方案获国务院批准且启动在即。伴随国家政策的扶持及打造海洋强国的强力投入，预计十三五期间及未来市场容量将得到进一步提升。公司作为国内为数不多专注于海洋观监测领域的科技公司，将面临重要的发展机会。</w:t>
      </w:r>
    </w:p>
    <w:p w:rsidR="00A9288A" w:rsidRDefault="007A4434">
      <w:pPr>
        <w:autoSpaceDE w:val="0"/>
        <w:autoSpaceDN w:val="0"/>
        <w:adjustRightInd w:val="0"/>
        <w:spacing w:before="0" w:after="0"/>
        <w:ind w:firstLine="422"/>
        <w:jc w:val="left"/>
        <w:rPr>
          <w:rFonts w:eastAsia="Times New Roman" w:cs="Times New Roman"/>
          <w:kern w:val="0"/>
          <w:sz w:val="21"/>
          <w:szCs w:val="21"/>
          <w:lang w:val="zh-CN"/>
        </w:rPr>
      </w:pPr>
      <w:r>
        <w:rPr>
          <w:rFonts w:eastAsia="Times New Roman" w:cs="Times New Roman"/>
          <w:b/>
          <w:bCs/>
          <w:kern w:val="0"/>
          <w:sz w:val="21"/>
          <w:szCs w:val="21"/>
          <w:lang w:val="zh-CN"/>
        </w:rPr>
        <w:t>3</w:t>
      </w:r>
      <w:r>
        <w:rPr>
          <w:rFonts w:ascii="宋体" w:hAnsi="宋体" w:hint="eastAsia"/>
          <w:b/>
          <w:bCs/>
          <w:kern w:val="0"/>
          <w:sz w:val="21"/>
          <w:szCs w:val="21"/>
          <w:lang w:val="zh-CN"/>
        </w:rPr>
        <w:t>、军（警）业务领域</w:t>
      </w:r>
    </w:p>
    <w:p w:rsidR="00A9288A" w:rsidRDefault="007A4434">
      <w:pPr>
        <w:autoSpaceDE w:val="0"/>
        <w:autoSpaceDN w:val="0"/>
        <w:adjustRightInd w:val="0"/>
        <w:spacing w:before="0" w:after="0"/>
        <w:ind w:firstLine="422"/>
        <w:jc w:val="left"/>
        <w:rPr>
          <w:rFonts w:eastAsia="Times New Roman" w:cs="Times New Roman"/>
          <w:b/>
          <w:bCs/>
          <w:kern w:val="0"/>
          <w:sz w:val="21"/>
          <w:szCs w:val="21"/>
          <w:lang w:val="zh-CN"/>
        </w:rPr>
      </w:pPr>
      <w:r>
        <w:rPr>
          <w:rFonts w:eastAsia="Times New Roman" w:cs="Times New Roman"/>
          <w:b/>
          <w:bCs/>
          <w:kern w:val="0"/>
          <w:sz w:val="21"/>
          <w:szCs w:val="21"/>
          <w:lang w:val="zh-CN"/>
        </w:rPr>
        <w:t>1</w:t>
      </w:r>
      <w:r>
        <w:rPr>
          <w:rFonts w:ascii="宋体" w:hAnsi="宋体" w:hint="eastAsia"/>
          <w:b/>
          <w:bCs/>
          <w:kern w:val="0"/>
          <w:sz w:val="21"/>
          <w:szCs w:val="21"/>
          <w:lang w:val="zh-CN"/>
        </w:rPr>
        <w:t>）军民融合提升至国家战略，</w:t>
      </w:r>
      <w:r>
        <w:rPr>
          <w:rFonts w:eastAsia="Times New Roman" w:cs="Times New Roman"/>
          <w:b/>
          <w:bCs/>
          <w:kern w:val="0"/>
          <w:sz w:val="21"/>
          <w:szCs w:val="21"/>
          <w:lang w:val="zh-CN"/>
        </w:rPr>
        <w:t>“</w:t>
      </w:r>
      <w:r>
        <w:rPr>
          <w:rFonts w:ascii="宋体" w:hAnsi="宋体" w:hint="eastAsia"/>
          <w:b/>
          <w:bCs/>
          <w:kern w:val="0"/>
          <w:sz w:val="21"/>
          <w:szCs w:val="21"/>
          <w:lang w:val="zh-CN"/>
        </w:rPr>
        <w:t>民参军</w:t>
      </w:r>
      <w:r>
        <w:rPr>
          <w:rFonts w:eastAsia="Times New Roman" w:cs="Times New Roman"/>
          <w:b/>
          <w:bCs/>
          <w:kern w:val="0"/>
          <w:sz w:val="21"/>
          <w:szCs w:val="21"/>
          <w:lang w:val="zh-CN"/>
        </w:rPr>
        <w:t>”</w:t>
      </w:r>
      <w:r>
        <w:rPr>
          <w:rFonts w:ascii="宋体" w:hAnsi="宋体" w:hint="eastAsia"/>
          <w:b/>
          <w:bCs/>
          <w:kern w:val="0"/>
          <w:sz w:val="21"/>
          <w:szCs w:val="21"/>
          <w:lang w:val="zh-CN"/>
        </w:rPr>
        <w:t>带来更多机遇</w:t>
      </w: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10" w:type="dxa"/>
          <w:left w:w="10" w:type="dxa"/>
          <w:bottom w:w="10" w:type="dxa"/>
          <w:right w:w="10" w:type="dxa"/>
        </w:tblCellMar>
        <w:tblLook w:val="0000" w:firstRow="0" w:lastRow="0" w:firstColumn="0" w:lastColumn="0" w:noHBand="0" w:noVBand="0"/>
      </w:tblPr>
      <w:tblGrid>
        <w:gridCol w:w="1107"/>
        <w:gridCol w:w="1638"/>
        <w:gridCol w:w="7109"/>
      </w:tblGrid>
      <w:tr w:rsidR="00A9288A">
        <w:tc>
          <w:tcPr>
            <w:tcW w:w="1107" w:type="dxa"/>
            <w:shd w:val="clear" w:color="auto" w:fill="4F81BD"/>
          </w:tcPr>
          <w:p w:rsidR="00A9288A" w:rsidRDefault="007A4434">
            <w:pPr>
              <w:autoSpaceDE w:val="0"/>
              <w:autoSpaceDN w:val="0"/>
              <w:adjustRightInd w:val="0"/>
              <w:spacing w:before="0" w:after="0"/>
              <w:ind w:firstLine="422"/>
              <w:jc w:val="center"/>
              <w:rPr>
                <w:rFonts w:eastAsia="Times New Roman" w:cs="Times New Roman"/>
                <w:b/>
                <w:bCs/>
                <w:kern w:val="0"/>
                <w:sz w:val="21"/>
                <w:szCs w:val="21"/>
                <w:lang w:val="zh-CN"/>
              </w:rPr>
            </w:pPr>
            <w:r>
              <w:rPr>
                <w:rFonts w:ascii="宋体" w:hAnsi="宋体" w:hint="eastAsia"/>
                <w:b/>
                <w:bCs/>
                <w:kern w:val="0"/>
                <w:sz w:val="21"/>
                <w:szCs w:val="21"/>
                <w:lang w:val="zh-CN"/>
              </w:rPr>
              <w:t>时间</w:t>
            </w:r>
          </w:p>
        </w:tc>
        <w:tc>
          <w:tcPr>
            <w:tcW w:w="1638" w:type="dxa"/>
            <w:shd w:val="clear" w:color="auto" w:fill="4F81BD"/>
          </w:tcPr>
          <w:p w:rsidR="00A9288A" w:rsidRDefault="007A4434">
            <w:pPr>
              <w:autoSpaceDE w:val="0"/>
              <w:autoSpaceDN w:val="0"/>
              <w:adjustRightInd w:val="0"/>
              <w:spacing w:before="0" w:after="0"/>
              <w:ind w:firstLine="422"/>
              <w:jc w:val="center"/>
              <w:rPr>
                <w:rFonts w:eastAsia="Times New Roman" w:cs="Times New Roman"/>
                <w:b/>
                <w:bCs/>
                <w:kern w:val="0"/>
                <w:sz w:val="21"/>
                <w:szCs w:val="21"/>
                <w:lang w:val="zh-CN"/>
              </w:rPr>
            </w:pPr>
            <w:r>
              <w:rPr>
                <w:rFonts w:ascii="宋体" w:hAnsi="宋体" w:hint="eastAsia"/>
                <w:b/>
                <w:bCs/>
                <w:kern w:val="0"/>
                <w:sz w:val="21"/>
                <w:szCs w:val="21"/>
                <w:lang w:val="zh-CN"/>
              </w:rPr>
              <w:t>政策</w:t>
            </w:r>
          </w:p>
        </w:tc>
        <w:tc>
          <w:tcPr>
            <w:tcW w:w="7109" w:type="dxa"/>
            <w:shd w:val="clear" w:color="auto" w:fill="4F81BD"/>
          </w:tcPr>
          <w:p w:rsidR="00A9288A" w:rsidRDefault="007A4434">
            <w:pPr>
              <w:autoSpaceDE w:val="0"/>
              <w:autoSpaceDN w:val="0"/>
              <w:adjustRightInd w:val="0"/>
              <w:spacing w:before="0" w:after="0"/>
              <w:ind w:firstLine="422"/>
              <w:jc w:val="center"/>
              <w:rPr>
                <w:rFonts w:eastAsia="Times New Roman" w:cs="Times New Roman"/>
                <w:b/>
                <w:bCs/>
                <w:kern w:val="0"/>
                <w:sz w:val="21"/>
                <w:szCs w:val="21"/>
                <w:lang w:val="zh-CN"/>
              </w:rPr>
            </w:pPr>
            <w:r>
              <w:rPr>
                <w:rFonts w:ascii="宋体" w:hAnsi="宋体" w:hint="eastAsia"/>
                <w:b/>
                <w:bCs/>
                <w:kern w:val="0"/>
                <w:sz w:val="21"/>
                <w:szCs w:val="21"/>
                <w:lang w:val="zh-CN"/>
              </w:rPr>
              <w:t>主要内容</w:t>
            </w:r>
          </w:p>
        </w:tc>
      </w:tr>
      <w:tr w:rsidR="00A9288A">
        <w:tc>
          <w:tcPr>
            <w:tcW w:w="1107" w:type="dxa"/>
            <w:shd w:val="clear" w:color="auto" w:fill="FFFFFF"/>
          </w:tcPr>
          <w:p w:rsidR="00A9288A" w:rsidRDefault="007A4434">
            <w:pPr>
              <w:autoSpaceDE w:val="0"/>
              <w:autoSpaceDN w:val="0"/>
              <w:adjustRightInd w:val="0"/>
              <w:spacing w:before="0" w:after="0"/>
              <w:rPr>
                <w:rFonts w:eastAsia="Times New Roman" w:cs="Times New Roman"/>
                <w:kern w:val="0"/>
                <w:sz w:val="21"/>
                <w:szCs w:val="21"/>
                <w:lang w:val="zh-CN"/>
              </w:rPr>
            </w:pPr>
            <w:r>
              <w:rPr>
                <w:rFonts w:eastAsia="Times New Roman" w:cs="Times New Roman"/>
                <w:kern w:val="0"/>
                <w:sz w:val="21"/>
                <w:szCs w:val="21"/>
                <w:lang w:val="zh-CN"/>
              </w:rPr>
              <w:t>2017</w:t>
            </w:r>
            <w:r>
              <w:rPr>
                <w:rFonts w:ascii="宋体" w:hAnsi="宋体" w:hint="eastAsia"/>
                <w:kern w:val="0"/>
                <w:sz w:val="21"/>
                <w:szCs w:val="21"/>
                <w:lang w:val="zh-CN"/>
              </w:rPr>
              <w:t>年</w:t>
            </w:r>
            <w:r>
              <w:rPr>
                <w:rFonts w:eastAsia="Times New Roman" w:cs="Times New Roman"/>
                <w:kern w:val="0"/>
                <w:sz w:val="21"/>
                <w:szCs w:val="21"/>
                <w:lang w:val="zh-CN"/>
              </w:rPr>
              <w:t>6</w:t>
            </w:r>
            <w:r>
              <w:rPr>
                <w:rFonts w:ascii="宋体" w:hAnsi="宋体" w:hint="eastAsia"/>
                <w:kern w:val="0"/>
                <w:sz w:val="21"/>
                <w:szCs w:val="21"/>
                <w:lang w:val="zh-CN"/>
              </w:rPr>
              <w:t>月</w:t>
            </w:r>
          </w:p>
        </w:tc>
        <w:tc>
          <w:tcPr>
            <w:tcW w:w="1638" w:type="dxa"/>
            <w:shd w:val="clear" w:color="auto" w:fill="FFFFFF"/>
          </w:tcPr>
          <w:p w:rsidR="00A9288A" w:rsidRDefault="007A4434">
            <w:pPr>
              <w:autoSpaceDE w:val="0"/>
              <w:autoSpaceDN w:val="0"/>
              <w:adjustRightInd w:val="0"/>
              <w:spacing w:before="0" w:after="0"/>
              <w:rPr>
                <w:rFonts w:eastAsia="Times New Roman" w:cs="Times New Roman"/>
                <w:kern w:val="0"/>
                <w:sz w:val="21"/>
                <w:szCs w:val="21"/>
                <w:lang w:val="zh-CN"/>
              </w:rPr>
            </w:pPr>
            <w:r>
              <w:rPr>
                <w:rFonts w:ascii="宋体" w:hAnsi="宋体" w:hint="eastAsia"/>
                <w:kern w:val="0"/>
                <w:sz w:val="21"/>
                <w:szCs w:val="21"/>
                <w:lang w:val="zh-CN"/>
              </w:rPr>
              <w:t>国防科工局发布《</w:t>
            </w:r>
            <w:r>
              <w:rPr>
                <w:rFonts w:eastAsia="Times New Roman" w:cs="Times New Roman"/>
                <w:kern w:val="0"/>
                <w:sz w:val="21"/>
                <w:szCs w:val="21"/>
                <w:lang w:val="zh-CN"/>
              </w:rPr>
              <w:t>2017</w:t>
            </w:r>
            <w:r>
              <w:rPr>
                <w:rFonts w:ascii="宋体" w:hAnsi="宋体" w:hint="eastAsia"/>
                <w:kern w:val="0"/>
                <w:sz w:val="21"/>
                <w:szCs w:val="21"/>
                <w:lang w:val="zh-CN"/>
              </w:rPr>
              <w:t>年国防科工局军民融合专项行动计划》</w:t>
            </w:r>
          </w:p>
        </w:tc>
        <w:tc>
          <w:tcPr>
            <w:tcW w:w="7109" w:type="dxa"/>
            <w:shd w:val="clear" w:color="auto" w:fill="FFFFFF"/>
          </w:tcPr>
          <w:p w:rsidR="00A9288A" w:rsidRDefault="007A4434">
            <w:pPr>
              <w:autoSpaceDE w:val="0"/>
              <w:autoSpaceDN w:val="0"/>
              <w:adjustRightInd w:val="0"/>
              <w:spacing w:before="0" w:after="0"/>
              <w:ind w:firstLine="420"/>
              <w:jc w:val="left"/>
              <w:rPr>
                <w:rFonts w:eastAsia="Times New Roman" w:cs="Times New Roman"/>
                <w:kern w:val="0"/>
                <w:sz w:val="21"/>
                <w:szCs w:val="21"/>
                <w:lang w:val="zh-CN"/>
              </w:rPr>
            </w:pPr>
            <w:r>
              <w:rPr>
                <w:rFonts w:eastAsia="Times New Roman" w:cs="Times New Roman"/>
                <w:kern w:val="0"/>
                <w:sz w:val="21"/>
                <w:szCs w:val="21"/>
                <w:lang w:val="zh-CN"/>
              </w:rPr>
              <w:t>2017</w:t>
            </w:r>
            <w:r>
              <w:rPr>
                <w:rFonts w:ascii="宋体" w:hAnsi="宋体" w:hint="eastAsia"/>
                <w:kern w:val="0"/>
                <w:sz w:val="21"/>
                <w:szCs w:val="21"/>
                <w:lang w:val="zh-CN"/>
              </w:rPr>
              <w:t>年</w:t>
            </w:r>
            <w:r>
              <w:rPr>
                <w:rFonts w:eastAsia="Times New Roman" w:cs="Times New Roman"/>
                <w:kern w:val="0"/>
                <w:sz w:val="21"/>
                <w:szCs w:val="21"/>
                <w:lang w:val="zh-CN"/>
              </w:rPr>
              <w:t>6</w:t>
            </w:r>
            <w:r>
              <w:rPr>
                <w:rFonts w:ascii="宋体" w:hAnsi="宋体" w:hint="eastAsia"/>
                <w:kern w:val="0"/>
                <w:sz w:val="21"/>
                <w:szCs w:val="21"/>
                <w:lang w:val="zh-CN"/>
              </w:rPr>
              <w:t>月，中央军民融合发展委员会召开第一次全体会议，把军民融合发展上升为国家战略深化</w:t>
            </w:r>
            <w:r>
              <w:rPr>
                <w:rFonts w:eastAsia="Times New Roman" w:cs="Times New Roman"/>
                <w:kern w:val="0"/>
                <w:sz w:val="21"/>
                <w:szCs w:val="21"/>
                <w:lang w:val="zh-CN"/>
              </w:rPr>
              <w:t>“</w:t>
            </w:r>
            <w:r>
              <w:rPr>
                <w:rFonts w:ascii="宋体" w:hAnsi="宋体" w:hint="eastAsia"/>
                <w:kern w:val="0"/>
                <w:sz w:val="21"/>
                <w:szCs w:val="21"/>
                <w:lang w:val="zh-CN"/>
              </w:rPr>
              <w:t>民参军</w:t>
            </w:r>
            <w:r>
              <w:rPr>
                <w:rFonts w:eastAsia="Times New Roman" w:cs="Times New Roman"/>
                <w:kern w:val="0"/>
                <w:sz w:val="21"/>
                <w:szCs w:val="21"/>
                <w:lang w:val="zh-CN"/>
              </w:rPr>
              <w:t>”</w:t>
            </w:r>
            <w:r>
              <w:rPr>
                <w:rFonts w:ascii="宋体" w:hAnsi="宋体" w:hint="eastAsia"/>
                <w:kern w:val="0"/>
                <w:sz w:val="21"/>
                <w:szCs w:val="21"/>
                <w:lang w:val="zh-CN"/>
              </w:rPr>
              <w:t>方面，将着力促进资本层面的</w:t>
            </w:r>
            <w:r>
              <w:rPr>
                <w:rFonts w:eastAsia="Times New Roman" w:cs="Times New Roman"/>
                <w:kern w:val="0"/>
                <w:sz w:val="21"/>
                <w:szCs w:val="21"/>
                <w:lang w:val="zh-CN"/>
              </w:rPr>
              <w:t>“</w:t>
            </w:r>
            <w:r>
              <w:rPr>
                <w:rFonts w:ascii="宋体" w:hAnsi="宋体" w:hint="eastAsia"/>
                <w:kern w:val="0"/>
                <w:sz w:val="21"/>
                <w:szCs w:val="21"/>
                <w:lang w:val="zh-CN"/>
              </w:rPr>
              <w:t>民参军</w:t>
            </w:r>
            <w:r>
              <w:rPr>
                <w:rFonts w:eastAsia="Times New Roman" w:cs="Times New Roman"/>
                <w:kern w:val="0"/>
                <w:sz w:val="21"/>
                <w:szCs w:val="21"/>
                <w:lang w:val="zh-CN"/>
              </w:rPr>
              <w:t>”</w:t>
            </w:r>
            <w:r>
              <w:rPr>
                <w:rFonts w:ascii="宋体" w:hAnsi="宋体" w:hint="eastAsia"/>
                <w:kern w:val="0"/>
                <w:sz w:val="21"/>
                <w:szCs w:val="21"/>
                <w:lang w:val="zh-CN"/>
              </w:rPr>
              <w:t>，并围绕投资、税收、准入等领域，继续优化有利于民营企业发展的政策环境；深入推进</w:t>
            </w:r>
            <w:r>
              <w:rPr>
                <w:rFonts w:ascii="宋体" w:hAnsi="宋体" w:hint="eastAsia"/>
                <w:b/>
                <w:bCs/>
                <w:kern w:val="0"/>
                <w:sz w:val="21"/>
                <w:szCs w:val="21"/>
                <w:lang w:val="zh-CN"/>
              </w:rPr>
              <w:t>军工企业混合所有制改革</w:t>
            </w:r>
            <w:r>
              <w:rPr>
                <w:rFonts w:ascii="宋体" w:hAnsi="宋体" w:hint="eastAsia"/>
                <w:kern w:val="0"/>
                <w:sz w:val="21"/>
                <w:szCs w:val="21"/>
                <w:lang w:val="zh-CN"/>
              </w:rPr>
              <w:t>，支持民营企业承担投资项目，引导社会投资参与军工投资建设深入推进军工企业混合所有制改革</w:t>
            </w:r>
          </w:p>
        </w:tc>
      </w:tr>
      <w:tr w:rsidR="00A9288A">
        <w:tc>
          <w:tcPr>
            <w:tcW w:w="1107" w:type="dxa"/>
            <w:shd w:val="clear" w:color="auto" w:fill="B8CCE4"/>
          </w:tcPr>
          <w:p w:rsidR="00A9288A" w:rsidRDefault="007A4434">
            <w:pPr>
              <w:autoSpaceDE w:val="0"/>
              <w:autoSpaceDN w:val="0"/>
              <w:adjustRightInd w:val="0"/>
              <w:spacing w:before="0" w:after="0"/>
              <w:rPr>
                <w:rFonts w:eastAsia="Times New Roman" w:cs="Times New Roman"/>
                <w:kern w:val="0"/>
                <w:sz w:val="21"/>
                <w:szCs w:val="21"/>
                <w:lang w:val="zh-CN"/>
              </w:rPr>
            </w:pPr>
            <w:r>
              <w:rPr>
                <w:rFonts w:eastAsia="Times New Roman" w:cs="Times New Roman"/>
                <w:kern w:val="0"/>
                <w:sz w:val="21"/>
                <w:szCs w:val="21"/>
                <w:lang w:val="zh-CN"/>
              </w:rPr>
              <w:t>2017</w:t>
            </w:r>
            <w:r>
              <w:rPr>
                <w:rFonts w:ascii="宋体" w:hAnsi="宋体" w:hint="eastAsia"/>
                <w:kern w:val="0"/>
                <w:sz w:val="21"/>
                <w:szCs w:val="21"/>
                <w:lang w:val="zh-CN"/>
              </w:rPr>
              <w:t>年</w:t>
            </w:r>
            <w:r>
              <w:rPr>
                <w:rFonts w:eastAsia="Times New Roman" w:cs="Times New Roman"/>
                <w:kern w:val="0"/>
                <w:sz w:val="21"/>
                <w:szCs w:val="21"/>
                <w:lang w:val="zh-CN"/>
              </w:rPr>
              <w:t>12</w:t>
            </w:r>
            <w:r>
              <w:rPr>
                <w:rFonts w:ascii="宋体" w:hAnsi="宋体" w:hint="eastAsia"/>
                <w:kern w:val="0"/>
                <w:sz w:val="21"/>
                <w:szCs w:val="21"/>
                <w:lang w:val="zh-CN"/>
              </w:rPr>
              <w:t>月</w:t>
            </w:r>
          </w:p>
        </w:tc>
        <w:tc>
          <w:tcPr>
            <w:tcW w:w="1638" w:type="dxa"/>
            <w:shd w:val="clear" w:color="auto" w:fill="B8CCE4"/>
          </w:tcPr>
          <w:p w:rsidR="00A9288A" w:rsidRDefault="007A4434">
            <w:pPr>
              <w:autoSpaceDE w:val="0"/>
              <w:autoSpaceDN w:val="0"/>
              <w:adjustRightInd w:val="0"/>
              <w:spacing w:before="0" w:after="0"/>
              <w:rPr>
                <w:rFonts w:eastAsia="Times New Roman" w:cs="Times New Roman"/>
                <w:kern w:val="0"/>
                <w:sz w:val="21"/>
                <w:szCs w:val="21"/>
                <w:lang w:val="zh-CN"/>
              </w:rPr>
            </w:pPr>
            <w:r>
              <w:rPr>
                <w:rFonts w:ascii="宋体" w:hAnsi="宋体" w:hint="eastAsia"/>
                <w:kern w:val="0"/>
                <w:sz w:val="21"/>
                <w:szCs w:val="21"/>
                <w:lang w:val="zh-CN"/>
              </w:rPr>
              <w:t>《国务院办公厅关于推动国防科技工业军民融合深度发展的意见》</w:t>
            </w:r>
          </w:p>
        </w:tc>
        <w:tc>
          <w:tcPr>
            <w:tcW w:w="7109" w:type="dxa"/>
            <w:shd w:val="clear" w:color="auto" w:fill="B8CCE4"/>
          </w:tcPr>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从</w:t>
            </w:r>
            <w:r>
              <w:rPr>
                <w:rFonts w:eastAsia="Times New Roman" w:cs="Times New Roman"/>
                <w:kern w:val="0"/>
                <w:sz w:val="21"/>
                <w:szCs w:val="21"/>
                <w:lang w:val="zh-CN"/>
              </w:rPr>
              <w:t>“</w:t>
            </w:r>
            <w:r>
              <w:rPr>
                <w:rFonts w:ascii="宋体" w:hAnsi="宋体" w:hint="eastAsia"/>
                <w:kern w:val="0"/>
                <w:sz w:val="21"/>
                <w:szCs w:val="21"/>
                <w:lang w:val="zh-CN"/>
              </w:rPr>
              <w:t>积极引入社会资本参与军工企业股份制改造，修订军工企业股份制改造分类指导目录，科学划分军工企业国有独资、国有绝对控股、国有相对控股、国有参股等控制类别，除战略武器等特殊领域外，在确保安全保密的前提下，支持符合要求的各类投资主体参与军工企业股份制改造</w:t>
            </w:r>
            <w:r>
              <w:rPr>
                <w:rFonts w:eastAsia="Times New Roman" w:cs="Times New Roman"/>
                <w:kern w:val="0"/>
                <w:sz w:val="21"/>
                <w:szCs w:val="21"/>
                <w:lang w:val="zh-CN"/>
              </w:rPr>
              <w:t>”</w:t>
            </w:r>
            <w:r>
              <w:rPr>
                <w:rFonts w:ascii="宋体" w:hAnsi="宋体" w:hint="eastAsia"/>
                <w:kern w:val="0"/>
                <w:sz w:val="21"/>
                <w:szCs w:val="21"/>
                <w:lang w:val="zh-CN"/>
              </w:rPr>
              <w:t>等七个方面提出了推动国防科技工业军民融合深度发展的具体政策措施。</w:t>
            </w:r>
          </w:p>
        </w:tc>
      </w:tr>
      <w:tr w:rsidR="00A9288A">
        <w:tc>
          <w:tcPr>
            <w:tcW w:w="1107" w:type="dxa"/>
            <w:shd w:val="clear" w:color="auto" w:fill="FFFFFF"/>
          </w:tcPr>
          <w:p w:rsidR="00A9288A" w:rsidRDefault="007A4434">
            <w:pPr>
              <w:autoSpaceDE w:val="0"/>
              <w:autoSpaceDN w:val="0"/>
              <w:adjustRightInd w:val="0"/>
              <w:spacing w:before="0" w:after="0"/>
              <w:rPr>
                <w:rFonts w:eastAsia="Times New Roman" w:cs="Times New Roman"/>
                <w:kern w:val="0"/>
                <w:sz w:val="21"/>
                <w:szCs w:val="21"/>
                <w:lang w:val="zh-CN"/>
              </w:rPr>
            </w:pPr>
            <w:r>
              <w:rPr>
                <w:rFonts w:eastAsia="Times New Roman" w:cs="Times New Roman"/>
                <w:kern w:val="0"/>
                <w:sz w:val="21"/>
                <w:szCs w:val="21"/>
                <w:lang w:val="zh-CN"/>
              </w:rPr>
              <w:t xml:space="preserve">2018 </w:t>
            </w:r>
            <w:r>
              <w:rPr>
                <w:rFonts w:ascii="宋体" w:hAnsi="宋体" w:hint="eastAsia"/>
                <w:kern w:val="0"/>
                <w:sz w:val="21"/>
                <w:szCs w:val="21"/>
                <w:lang w:val="zh-CN"/>
              </w:rPr>
              <w:t>年</w:t>
            </w:r>
            <w:r>
              <w:rPr>
                <w:rFonts w:eastAsia="Times New Roman" w:cs="Times New Roman"/>
                <w:kern w:val="0"/>
                <w:sz w:val="21"/>
                <w:szCs w:val="21"/>
                <w:lang w:val="zh-CN"/>
              </w:rPr>
              <w:t xml:space="preserve"> 3 </w:t>
            </w:r>
            <w:r>
              <w:rPr>
                <w:rFonts w:ascii="宋体" w:hAnsi="宋体" w:hint="eastAsia"/>
                <w:kern w:val="0"/>
                <w:sz w:val="21"/>
                <w:szCs w:val="21"/>
                <w:lang w:val="zh-CN"/>
              </w:rPr>
              <w:t>月</w:t>
            </w:r>
          </w:p>
        </w:tc>
        <w:tc>
          <w:tcPr>
            <w:tcW w:w="1638" w:type="dxa"/>
            <w:shd w:val="clear" w:color="auto" w:fill="FFFFFF"/>
          </w:tcPr>
          <w:p w:rsidR="00A9288A" w:rsidRDefault="007A4434">
            <w:pPr>
              <w:autoSpaceDE w:val="0"/>
              <w:autoSpaceDN w:val="0"/>
              <w:adjustRightInd w:val="0"/>
              <w:spacing w:before="0" w:after="0"/>
              <w:rPr>
                <w:rFonts w:eastAsia="Times New Roman" w:cs="Times New Roman"/>
                <w:kern w:val="0"/>
                <w:sz w:val="21"/>
                <w:szCs w:val="21"/>
                <w:lang w:val="zh-CN"/>
              </w:rPr>
            </w:pPr>
            <w:r>
              <w:rPr>
                <w:rFonts w:ascii="宋体" w:hAnsi="宋体" w:hint="eastAsia"/>
                <w:kern w:val="0"/>
                <w:sz w:val="21"/>
                <w:szCs w:val="21"/>
                <w:lang w:val="zh-CN"/>
              </w:rPr>
              <w:t>《军民融合发展战略纲要》</w:t>
            </w:r>
          </w:p>
        </w:tc>
        <w:tc>
          <w:tcPr>
            <w:tcW w:w="7109" w:type="dxa"/>
            <w:shd w:val="clear" w:color="auto" w:fill="FFFFFF"/>
          </w:tcPr>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坚定实施军民融合发展战略构建一体化国家战略体系</w:t>
            </w:r>
          </w:p>
        </w:tc>
      </w:tr>
    </w:tbl>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eastAsia="Times New Roman" w:cs="Times New Roman"/>
          <w:b/>
          <w:bCs/>
          <w:kern w:val="0"/>
          <w:sz w:val="21"/>
          <w:szCs w:val="21"/>
          <w:lang w:val="zh-CN"/>
        </w:rPr>
        <w:t>2</w:t>
      </w:r>
      <w:r>
        <w:rPr>
          <w:rFonts w:ascii="宋体" w:hAnsi="宋体" w:hint="eastAsia"/>
          <w:b/>
          <w:bCs/>
          <w:kern w:val="0"/>
          <w:sz w:val="21"/>
          <w:szCs w:val="21"/>
          <w:lang w:val="zh-CN"/>
        </w:rPr>
        <w:t>）海防信息化是中国海军走向深蓝的重要支撑</w:t>
      </w:r>
    </w:p>
    <w:p w:rsidR="00A9288A" w:rsidRDefault="007A4434">
      <w:pPr>
        <w:autoSpaceDE w:val="0"/>
        <w:autoSpaceDN w:val="0"/>
        <w:adjustRightInd w:val="0"/>
        <w:spacing w:before="0" w:after="0"/>
        <w:ind w:firstLine="422"/>
        <w:rPr>
          <w:rFonts w:eastAsia="Times New Roman" w:cs="Times New Roman"/>
          <w:kern w:val="0"/>
          <w:sz w:val="21"/>
          <w:szCs w:val="21"/>
          <w:lang w:val="zh-CN"/>
        </w:rPr>
      </w:pPr>
      <w:r>
        <w:rPr>
          <w:rFonts w:eastAsia="Times New Roman" w:cs="Times New Roman"/>
          <w:b/>
          <w:bCs/>
          <w:kern w:val="0"/>
          <w:sz w:val="21"/>
          <w:szCs w:val="21"/>
          <w:lang w:val="zh-CN"/>
        </w:rPr>
        <w:t>2018</w:t>
      </w:r>
      <w:r>
        <w:rPr>
          <w:rFonts w:ascii="宋体" w:hAnsi="宋体" w:hint="eastAsia"/>
          <w:b/>
          <w:bCs/>
          <w:kern w:val="0"/>
          <w:sz w:val="21"/>
          <w:szCs w:val="21"/>
          <w:lang w:val="zh-CN"/>
        </w:rPr>
        <w:t>年</w:t>
      </w:r>
      <w:r>
        <w:rPr>
          <w:rFonts w:eastAsia="Times New Roman" w:cs="Times New Roman"/>
          <w:b/>
          <w:bCs/>
          <w:kern w:val="0"/>
          <w:sz w:val="21"/>
          <w:szCs w:val="21"/>
          <w:lang w:val="zh-CN"/>
        </w:rPr>
        <w:t>4</w:t>
      </w:r>
      <w:r>
        <w:rPr>
          <w:rFonts w:ascii="宋体" w:hAnsi="宋体" w:hint="eastAsia"/>
          <w:b/>
          <w:bCs/>
          <w:kern w:val="0"/>
          <w:sz w:val="21"/>
          <w:szCs w:val="21"/>
          <w:lang w:val="zh-CN"/>
        </w:rPr>
        <w:t>月</w:t>
      </w:r>
      <w:r>
        <w:rPr>
          <w:rFonts w:eastAsia="Times New Roman" w:cs="Times New Roman"/>
          <w:b/>
          <w:bCs/>
          <w:kern w:val="0"/>
          <w:sz w:val="21"/>
          <w:szCs w:val="21"/>
          <w:lang w:val="zh-CN"/>
        </w:rPr>
        <w:t>12</w:t>
      </w:r>
      <w:r>
        <w:rPr>
          <w:rFonts w:ascii="宋体" w:hAnsi="宋体" w:hint="eastAsia"/>
          <w:b/>
          <w:bCs/>
          <w:kern w:val="0"/>
          <w:sz w:val="21"/>
          <w:szCs w:val="21"/>
          <w:lang w:val="zh-CN"/>
        </w:rPr>
        <w:t>日上午，中央军委在南海海域隆重举行海上阅兵</w:t>
      </w:r>
      <w:r>
        <w:rPr>
          <w:rFonts w:ascii="宋体" w:hAnsi="宋体" w:hint="eastAsia"/>
          <w:kern w:val="0"/>
          <w:sz w:val="21"/>
          <w:szCs w:val="21"/>
          <w:lang w:val="zh-CN"/>
        </w:rPr>
        <w:t>，习主席检阅部队并发表重要讲话，充分肯定人民海军的重要地位作用和取得的辉煌成就，鲜明提出努力把人民海军全面建成世界一流海军。第一次将阅兵地点设置在南海海域，更是向世界传递出中国海军有能力捍卫国家利益、遂行现代化作战任务的坚定信念。</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由于中国海洋地理相对不利，从北到南的黄海、东海和南海被包围在第一岛链内；承载经济重任的东南沿海地区，长期处在美日军事打击覆盖范围内；岛屿主权争端、海洋划界及海洋资源纠纷，严重地制约中国海洋事业及国民经济的发展。同时，随着陆地资源供应日趋紧张，世界主要国家纷纷加快探索和开发利用海洋空间，加紧向深海、远洋和极地进军。例如，美国、俄罗斯等竞相提出以建设强大海上力量、发展海洋前沿科学技术为核心的战略规划。另外，随着对外开放不断深化，特别是</w:t>
      </w:r>
      <w:r>
        <w:rPr>
          <w:rFonts w:eastAsia="Times New Roman" w:cs="Times New Roman"/>
          <w:kern w:val="0"/>
          <w:sz w:val="21"/>
          <w:szCs w:val="21"/>
          <w:lang w:val="zh-CN"/>
        </w:rPr>
        <w:t>“</w:t>
      </w:r>
      <w:r>
        <w:rPr>
          <w:rFonts w:ascii="宋体" w:hAnsi="宋体" w:hint="eastAsia"/>
          <w:kern w:val="0"/>
          <w:sz w:val="21"/>
          <w:szCs w:val="21"/>
          <w:lang w:val="zh-CN"/>
        </w:rPr>
        <w:t>一带一路</w:t>
      </w:r>
      <w:r>
        <w:rPr>
          <w:rFonts w:eastAsia="Times New Roman" w:cs="Times New Roman"/>
          <w:kern w:val="0"/>
          <w:sz w:val="21"/>
          <w:szCs w:val="21"/>
          <w:lang w:val="zh-CN"/>
        </w:rPr>
        <w:t>”</w:t>
      </w:r>
      <w:r>
        <w:rPr>
          <w:rFonts w:ascii="宋体" w:hAnsi="宋体" w:hint="eastAsia"/>
          <w:kern w:val="0"/>
          <w:sz w:val="21"/>
          <w:szCs w:val="21"/>
          <w:lang w:val="zh-CN"/>
        </w:rPr>
        <w:t>建设深入推进，中国国家利益向海外扩展的过程中，大量基础设施、资源资产和人员长期置于海外，有些将面临地区战乱、恐怖主义等威胁，也需要海军保驾护航。</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随着</w:t>
      </w:r>
      <w:r>
        <w:rPr>
          <w:rFonts w:eastAsia="Times New Roman" w:cs="Times New Roman"/>
          <w:kern w:val="0"/>
          <w:sz w:val="21"/>
          <w:szCs w:val="21"/>
          <w:lang w:val="zh-CN"/>
        </w:rPr>
        <w:t>“</w:t>
      </w:r>
      <w:r>
        <w:rPr>
          <w:rFonts w:ascii="宋体" w:hAnsi="宋体" w:hint="eastAsia"/>
          <w:kern w:val="0"/>
          <w:sz w:val="21"/>
          <w:szCs w:val="21"/>
          <w:lang w:val="zh-CN"/>
        </w:rPr>
        <w:t>信息化</w:t>
      </w:r>
      <w:r>
        <w:rPr>
          <w:rFonts w:eastAsia="Times New Roman" w:cs="Times New Roman"/>
          <w:kern w:val="0"/>
          <w:sz w:val="21"/>
          <w:szCs w:val="21"/>
          <w:lang w:val="zh-CN"/>
        </w:rPr>
        <w:t>”</w:t>
      </w:r>
      <w:r>
        <w:rPr>
          <w:rFonts w:ascii="宋体" w:hAnsi="宋体" w:hint="eastAsia"/>
          <w:kern w:val="0"/>
          <w:sz w:val="21"/>
          <w:szCs w:val="21"/>
          <w:lang w:val="zh-CN"/>
        </w:rPr>
        <w:t>战争正逐步成为未来战争的发展趋势，舰船上的电子装备已成为整个舰船工业的重要组成部分，发挥着举足轻重的作用。同时，海洋数据信息获取是研究海洋、开发海洋和利用海洋的基础，也是得到制海权的必要手段，气象、地形、海洋表面、海洋三维等海洋数据是进行海洋管理、海洋科学研究、海洋资源开发、海洋灾害预警、海洋工程建设等海洋活动的重要支撑，对于水下目标探测、水下防御体系建设也至关重要。</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本业务领域为公司成熟业务，公司作为中国海军装备的供应商，产品已应用到包括中国首艘航母</w:t>
      </w:r>
      <w:r>
        <w:rPr>
          <w:rFonts w:eastAsia="Times New Roman" w:cs="Times New Roman"/>
          <w:kern w:val="0"/>
          <w:sz w:val="21"/>
          <w:szCs w:val="21"/>
          <w:lang w:val="zh-CN"/>
        </w:rPr>
        <w:t>“</w:t>
      </w:r>
      <w:r>
        <w:rPr>
          <w:rFonts w:ascii="宋体" w:hAnsi="宋体" w:hint="eastAsia"/>
          <w:kern w:val="0"/>
          <w:sz w:val="21"/>
          <w:szCs w:val="21"/>
          <w:lang w:val="zh-CN"/>
        </w:rPr>
        <w:t>辽宁舰</w:t>
      </w:r>
      <w:r>
        <w:rPr>
          <w:rFonts w:eastAsia="Times New Roman" w:cs="Times New Roman"/>
          <w:kern w:val="0"/>
          <w:sz w:val="21"/>
          <w:szCs w:val="21"/>
          <w:lang w:val="zh-CN"/>
        </w:rPr>
        <w:t>”</w:t>
      </w:r>
      <w:r>
        <w:rPr>
          <w:rFonts w:ascii="宋体" w:hAnsi="宋体" w:hint="eastAsia"/>
          <w:kern w:val="0"/>
          <w:sz w:val="21"/>
          <w:szCs w:val="21"/>
          <w:lang w:val="zh-CN"/>
        </w:rPr>
        <w:t>在内的各类舰船上，并实现了从单一产品供应向系统解决方案的转变；通过产品创新积极由船（舰）载领域向岸基对海监控领域拓展业务，公司智能雷达监控系统可应用于岸基和船载</w:t>
      </w:r>
      <w:r>
        <w:rPr>
          <w:rFonts w:eastAsia="Times New Roman" w:cs="Times New Roman"/>
          <w:kern w:val="0"/>
          <w:sz w:val="21"/>
          <w:szCs w:val="21"/>
          <w:lang w:val="zh-CN"/>
        </w:rPr>
        <w:t>/</w:t>
      </w:r>
      <w:r>
        <w:rPr>
          <w:rFonts w:ascii="宋体" w:hAnsi="宋体" w:hint="eastAsia"/>
          <w:kern w:val="0"/>
          <w:sz w:val="21"/>
          <w:szCs w:val="21"/>
          <w:lang w:val="zh-CN"/>
        </w:rPr>
        <w:t>舰载对海监控领域，为</w:t>
      </w:r>
      <w:r>
        <w:rPr>
          <w:rFonts w:ascii="宋体" w:hAnsi="宋体" w:hint="eastAsia"/>
          <w:kern w:val="0"/>
          <w:sz w:val="21"/>
          <w:szCs w:val="21"/>
          <w:lang w:val="zh-CN"/>
        </w:rPr>
        <w:lastRenderedPageBreak/>
        <w:t>监控海域的行动部署提供高度融合的实时信息，实现港口监控、海域监控、岛礁监控、海上平台监控、海上搜救执法等综合管理功能；另外，在国家海洋强国战略的背景下，海底监测</w:t>
      </w:r>
      <w:r>
        <w:rPr>
          <w:rFonts w:eastAsia="Times New Roman" w:cs="Times New Roman"/>
          <w:kern w:val="0"/>
          <w:sz w:val="21"/>
          <w:szCs w:val="21"/>
          <w:lang w:val="zh-CN"/>
        </w:rPr>
        <w:t>/</w:t>
      </w:r>
      <w:r>
        <w:rPr>
          <w:rFonts w:ascii="宋体" w:hAnsi="宋体" w:hint="eastAsia"/>
          <w:kern w:val="0"/>
          <w:sz w:val="21"/>
          <w:szCs w:val="21"/>
          <w:lang w:val="zh-CN"/>
        </w:rPr>
        <w:t>观测领域投入也将大幅增长，公司在海洋领域丰富的产品线，海洋传感器和信号处理等设备是关键的辅助装置，也将面临历史性机遇。</w:t>
      </w:r>
    </w:p>
    <w:p w:rsidR="00A9288A" w:rsidRDefault="007A4434">
      <w:pPr>
        <w:pStyle w:val="Chapter"/>
        <w:outlineLvl w:val="1"/>
        <w:rPr>
          <w:rFonts w:eastAsia="Times New Roman" w:cs="Times New Roman"/>
        </w:rPr>
      </w:pPr>
      <w:r>
        <w:rPr>
          <w:rFonts w:hint="eastAsia"/>
        </w:rPr>
        <w:t>二、主要资产重大变化情况</w:t>
      </w:r>
    </w:p>
    <w:p w:rsidR="00A9288A" w:rsidRDefault="007A4434">
      <w:pPr>
        <w:pStyle w:val="Section"/>
        <w:outlineLvl w:val="2"/>
        <w:rPr>
          <w:rFonts w:eastAsia="Times New Roman" w:cs="Times New Roman"/>
        </w:rPr>
      </w:pPr>
      <w:r>
        <w:rPr>
          <w:rFonts w:cs="Times New Roman"/>
        </w:rPr>
        <w:t>1</w:t>
      </w:r>
      <w:r>
        <w:rPr>
          <w:rFonts w:hint="eastAsia"/>
        </w:rPr>
        <w:t>、主要资产重大变化情况</w:t>
      </w:r>
    </w:p>
    <w:tbl>
      <w:tblPr>
        <w:tblW w:w="0" w:type="auto"/>
        <w:tblInd w:w="28" w:type="dxa"/>
        <w:tblLayout w:type="fixed"/>
        <w:tblCellMar>
          <w:left w:w="28" w:type="dxa"/>
          <w:right w:w="28" w:type="dxa"/>
        </w:tblCellMar>
        <w:tblLook w:val="0000" w:firstRow="0" w:lastRow="0" w:firstColumn="0" w:lastColumn="0" w:noHBand="0" w:noVBand="0"/>
      </w:tblPr>
      <w:tblGrid>
        <w:gridCol w:w="3051"/>
        <w:gridCol w:w="6517"/>
      </w:tblGrid>
      <w:tr w:rsidR="00A9288A">
        <w:trPr>
          <w:trHeight w:val="352"/>
        </w:trPr>
        <w:tc>
          <w:tcPr>
            <w:tcW w:w="305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主要资产</w:t>
            </w:r>
          </w:p>
        </w:tc>
        <w:tc>
          <w:tcPr>
            <w:tcW w:w="6517"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重大变化说明</w:t>
            </w:r>
          </w:p>
        </w:tc>
      </w:tr>
      <w:tr w:rsidR="00A9288A">
        <w:trPr>
          <w:trHeight w:val="392"/>
        </w:trPr>
        <w:tc>
          <w:tcPr>
            <w:tcW w:w="3051" w:type="dxa"/>
            <w:vMerge/>
            <w:tcBorders>
              <w:top w:val="single" w:sz="4" w:space="0" w:color="auto"/>
              <w:left w:val="single" w:sz="4" w:space="0" w:color="auto"/>
              <w:bottom w:val="single" w:sz="4" w:space="0" w:color="auto"/>
              <w:right w:val="single" w:sz="4" w:space="0" w:color="auto"/>
            </w:tcBorders>
            <w:vAlign w:val="center"/>
          </w:tcPr>
          <w:p w:rsidR="00A9288A" w:rsidRDefault="00A9288A">
            <w:pPr>
              <w:rPr>
                <w:rFonts w:eastAsia="Times New Roman" w:cs="Times New Roman"/>
              </w:rPr>
            </w:pPr>
          </w:p>
        </w:tc>
        <w:tc>
          <w:tcPr>
            <w:tcW w:w="6517" w:type="dxa"/>
            <w:vMerge/>
            <w:tcBorders>
              <w:top w:val="single" w:sz="4" w:space="0" w:color="auto"/>
              <w:left w:val="single" w:sz="4" w:space="0" w:color="auto"/>
              <w:bottom w:val="single" w:sz="4" w:space="0" w:color="auto"/>
              <w:right w:val="single" w:sz="4" w:space="0" w:color="auto"/>
            </w:tcBorders>
            <w:vAlign w:val="center"/>
          </w:tcPr>
          <w:p w:rsidR="00A9288A" w:rsidRDefault="00A9288A">
            <w:pPr>
              <w:rPr>
                <w:rFonts w:eastAsia="Times New Roman" w:cs="Times New Roman"/>
              </w:rPr>
            </w:pPr>
          </w:p>
        </w:tc>
      </w:tr>
      <w:tr w:rsidR="00A9288A">
        <w:tc>
          <w:tcPr>
            <w:tcW w:w="305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股权资产</w:t>
            </w:r>
          </w:p>
        </w:tc>
        <w:tc>
          <w:tcPr>
            <w:tcW w:w="651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无重大变化</w:t>
            </w:r>
          </w:p>
        </w:tc>
      </w:tr>
      <w:tr w:rsidR="00A9288A">
        <w:tc>
          <w:tcPr>
            <w:tcW w:w="305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固定资产</w:t>
            </w:r>
          </w:p>
        </w:tc>
        <w:tc>
          <w:tcPr>
            <w:tcW w:w="651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无重大变化</w:t>
            </w:r>
          </w:p>
        </w:tc>
      </w:tr>
      <w:tr w:rsidR="00A9288A">
        <w:tc>
          <w:tcPr>
            <w:tcW w:w="305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无形资产</w:t>
            </w:r>
          </w:p>
        </w:tc>
        <w:tc>
          <w:tcPr>
            <w:tcW w:w="651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本期采购非专利技术增加</w:t>
            </w:r>
          </w:p>
        </w:tc>
      </w:tr>
      <w:tr w:rsidR="00A9288A">
        <w:tc>
          <w:tcPr>
            <w:tcW w:w="305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在建工程</w:t>
            </w:r>
          </w:p>
        </w:tc>
        <w:tc>
          <w:tcPr>
            <w:tcW w:w="651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无重大变化</w:t>
            </w:r>
          </w:p>
        </w:tc>
      </w:tr>
    </w:tbl>
    <w:p w:rsidR="00A9288A" w:rsidRDefault="007A4434">
      <w:pPr>
        <w:pStyle w:val="Section"/>
        <w:outlineLvl w:val="2"/>
        <w:rPr>
          <w:rFonts w:eastAsia="Times New Roman" w:cs="Times New Roman"/>
        </w:rPr>
      </w:pPr>
      <w:r>
        <w:rPr>
          <w:rFonts w:cs="Times New Roman"/>
        </w:rPr>
        <w:t>2</w:t>
      </w:r>
      <w:r>
        <w:rPr>
          <w:rFonts w:hint="eastAsia"/>
        </w:rPr>
        <w:t>、主要境外资产情况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tbl>
      <w:tblPr>
        <w:tblW w:w="0" w:type="auto"/>
        <w:tblLayout w:type="fixed"/>
        <w:tblCellMar>
          <w:left w:w="28" w:type="dxa"/>
          <w:right w:w="28" w:type="dxa"/>
        </w:tblCellMar>
        <w:tblLook w:val="0000" w:firstRow="0" w:lastRow="0" w:firstColumn="0" w:lastColumn="0" w:noHBand="0" w:noVBand="0"/>
      </w:tblPr>
      <w:tblGrid>
        <w:gridCol w:w="1063"/>
        <w:gridCol w:w="1059"/>
        <w:gridCol w:w="1181"/>
        <w:gridCol w:w="1061"/>
        <w:gridCol w:w="1061"/>
        <w:gridCol w:w="1061"/>
        <w:gridCol w:w="1091"/>
        <w:gridCol w:w="1061"/>
        <w:gridCol w:w="1056"/>
      </w:tblGrid>
      <w:tr w:rsidR="00A9288A">
        <w:tc>
          <w:tcPr>
            <w:tcW w:w="106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资产的具体内容</w:t>
            </w:r>
          </w:p>
        </w:tc>
        <w:tc>
          <w:tcPr>
            <w:tcW w:w="105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形成原因</w:t>
            </w:r>
          </w:p>
        </w:tc>
        <w:tc>
          <w:tcPr>
            <w:tcW w:w="118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资产规模</w:t>
            </w:r>
          </w:p>
        </w:tc>
        <w:tc>
          <w:tcPr>
            <w:tcW w:w="106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所在地</w:t>
            </w:r>
          </w:p>
        </w:tc>
        <w:tc>
          <w:tcPr>
            <w:tcW w:w="106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运营模式</w:t>
            </w:r>
          </w:p>
        </w:tc>
        <w:tc>
          <w:tcPr>
            <w:tcW w:w="106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保障资产安全性的控制措施</w:t>
            </w:r>
          </w:p>
        </w:tc>
        <w:tc>
          <w:tcPr>
            <w:tcW w:w="109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收益状况</w:t>
            </w:r>
          </w:p>
        </w:tc>
        <w:tc>
          <w:tcPr>
            <w:tcW w:w="106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境外资产占公司净资产的比重</w:t>
            </w:r>
          </w:p>
        </w:tc>
        <w:tc>
          <w:tcPr>
            <w:tcW w:w="105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是否存在重大减值风险</w:t>
            </w:r>
          </w:p>
        </w:tc>
      </w:tr>
      <w:tr w:rsidR="00A9288A">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劳雷海洋系统有限公司</w:t>
            </w:r>
          </w:p>
        </w:tc>
        <w:tc>
          <w:tcPr>
            <w:tcW w:w="105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投资并购</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328,486,503.16</w:t>
            </w: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香港</w:t>
            </w: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海洋仪器销售</w:t>
            </w: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 xml:space="preserve">" </w:t>
            </w:r>
            <w:r>
              <w:rPr>
                <w:rFonts w:hint="eastAsia"/>
              </w:rPr>
              <w:t>加强应收账款的回款力度，加强存货管理</w:t>
            </w:r>
            <w:r>
              <w:rPr>
                <w:rFonts w:cs="Times New Roman"/>
              </w:rPr>
              <w:t xml:space="preserve"> "</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17,369,929.52</w:t>
            </w: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27.41%</w:t>
            </w:r>
          </w:p>
        </w:tc>
        <w:tc>
          <w:tcPr>
            <w:tcW w:w="10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r>
    </w:tbl>
    <w:p w:rsidR="00A9288A" w:rsidRDefault="007A4434">
      <w:pPr>
        <w:pStyle w:val="Chapter"/>
        <w:outlineLvl w:val="1"/>
        <w:rPr>
          <w:rFonts w:eastAsia="Times New Roman" w:cs="Times New Roman"/>
        </w:rPr>
      </w:pPr>
      <w:r>
        <w:rPr>
          <w:rFonts w:hint="eastAsia"/>
        </w:rPr>
        <w:t>三、核心竞争力分析</w:t>
      </w:r>
    </w:p>
    <w:p w:rsidR="00A9288A" w:rsidRDefault="007A4434">
      <w:pPr>
        <w:jc w:val="left"/>
        <w:rPr>
          <w:rFonts w:eastAsia="Times New Roman" w:cs="Times New Roman"/>
        </w:rPr>
      </w:pPr>
      <w:r>
        <w:rPr>
          <w:rFonts w:hint="eastAsia"/>
        </w:rPr>
        <w:t>公司是否需要遵守特殊行业的披露要求</w:t>
      </w:r>
    </w:p>
    <w:p w:rsidR="00A9288A" w:rsidRDefault="007A4434">
      <w:pPr>
        <w:jc w:val="left"/>
        <w:rPr>
          <w:rFonts w:eastAsia="Times New Roman" w:cs="Times New Roman"/>
        </w:rPr>
      </w:pPr>
      <w:r>
        <w:rPr>
          <w:rFonts w:hint="eastAsia"/>
        </w:rPr>
        <w:t>否</w:t>
      </w:r>
    </w:p>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eastAsia="Times New Roman" w:cs="Times New Roman"/>
          <w:b/>
          <w:bCs/>
          <w:kern w:val="0"/>
          <w:sz w:val="21"/>
          <w:szCs w:val="21"/>
          <w:lang w:val="zh-CN"/>
        </w:rPr>
        <w:t>1</w:t>
      </w:r>
      <w:r>
        <w:rPr>
          <w:rFonts w:ascii="宋体" w:hAnsi="宋体" w:hint="eastAsia"/>
          <w:b/>
          <w:bCs/>
          <w:kern w:val="0"/>
          <w:sz w:val="21"/>
          <w:szCs w:val="21"/>
          <w:lang w:val="zh-CN"/>
        </w:rPr>
        <w:t>、战略清晰且坚定</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公司从设立以来，坚持聚焦于</w:t>
      </w:r>
      <w:r>
        <w:rPr>
          <w:rFonts w:eastAsia="Times New Roman" w:cs="Times New Roman"/>
          <w:kern w:val="0"/>
          <w:sz w:val="21"/>
          <w:szCs w:val="21"/>
          <w:lang w:val="zh-CN"/>
        </w:rPr>
        <w:t>“</w:t>
      </w:r>
      <w:r>
        <w:rPr>
          <w:rFonts w:ascii="宋体" w:hAnsi="宋体" w:hint="eastAsia"/>
          <w:kern w:val="0"/>
          <w:sz w:val="21"/>
          <w:szCs w:val="21"/>
          <w:lang w:val="zh-CN"/>
        </w:rPr>
        <w:t>海</w:t>
      </w:r>
      <w:r>
        <w:rPr>
          <w:rFonts w:eastAsia="Times New Roman" w:cs="Times New Roman"/>
          <w:kern w:val="0"/>
          <w:sz w:val="21"/>
          <w:szCs w:val="21"/>
          <w:lang w:val="zh-CN"/>
        </w:rPr>
        <w:t>”</w:t>
      </w:r>
      <w:r>
        <w:rPr>
          <w:rFonts w:ascii="宋体" w:hAnsi="宋体" w:hint="eastAsia"/>
          <w:kern w:val="0"/>
          <w:sz w:val="21"/>
          <w:szCs w:val="21"/>
          <w:lang w:val="zh-CN"/>
        </w:rPr>
        <w:t>，历经</w:t>
      </w:r>
      <w:r>
        <w:rPr>
          <w:rFonts w:eastAsia="Times New Roman" w:cs="Times New Roman"/>
          <w:kern w:val="0"/>
          <w:sz w:val="21"/>
          <w:szCs w:val="21"/>
          <w:lang w:val="zh-CN"/>
        </w:rPr>
        <w:t>18</w:t>
      </w:r>
      <w:r>
        <w:rPr>
          <w:rFonts w:ascii="宋体" w:hAnsi="宋体" w:hint="eastAsia"/>
          <w:kern w:val="0"/>
          <w:sz w:val="21"/>
          <w:szCs w:val="21"/>
          <w:lang w:val="zh-CN"/>
        </w:rPr>
        <w:t>年的积累，通过深度的市场洞察，不断明确企业愿景</w:t>
      </w:r>
      <w:r>
        <w:rPr>
          <w:rFonts w:eastAsia="Times New Roman" w:cs="Times New Roman"/>
          <w:kern w:val="0"/>
          <w:sz w:val="21"/>
          <w:szCs w:val="21"/>
          <w:lang w:val="zh-CN"/>
        </w:rPr>
        <w:t>“</w:t>
      </w:r>
      <w:r>
        <w:rPr>
          <w:rFonts w:ascii="宋体" w:hAnsi="宋体" w:hint="eastAsia"/>
          <w:kern w:val="0"/>
          <w:sz w:val="21"/>
          <w:szCs w:val="21"/>
          <w:lang w:val="zh-CN"/>
        </w:rPr>
        <w:t>努力成为全球智能航海的引领者，中国智慧海洋的建设者</w:t>
      </w:r>
      <w:r>
        <w:rPr>
          <w:rFonts w:eastAsia="Times New Roman" w:cs="Times New Roman"/>
          <w:kern w:val="0"/>
          <w:sz w:val="21"/>
          <w:szCs w:val="21"/>
          <w:lang w:val="zh-CN"/>
        </w:rPr>
        <w:t>”</w:t>
      </w:r>
      <w:r>
        <w:rPr>
          <w:rFonts w:ascii="宋体" w:hAnsi="宋体" w:hint="eastAsia"/>
          <w:kern w:val="0"/>
          <w:sz w:val="21"/>
          <w:szCs w:val="21"/>
          <w:lang w:val="zh-CN"/>
        </w:rPr>
        <w:t>，且该愿景与国家产业政策高度契合；公司以</w:t>
      </w:r>
      <w:r>
        <w:rPr>
          <w:rFonts w:eastAsia="Times New Roman" w:cs="Times New Roman"/>
          <w:kern w:val="0"/>
          <w:sz w:val="21"/>
          <w:szCs w:val="21"/>
          <w:lang w:val="zh-CN"/>
        </w:rPr>
        <w:t>“</w:t>
      </w:r>
      <w:r>
        <w:rPr>
          <w:rFonts w:ascii="宋体" w:hAnsi="宋体" w:hint="eastAsia"/>
          <w:kern w:val="0"/>
          <w:sz w:val="21"/>
          <w:szCs w:val="21"/>
          <w:lang w:val="zh-CN"/>
        </w:rPr>
        <w:t>贡献海洋、献身国防</w:t>
      </w:r>
      <w:r>
        <w:rPr>
          <w:rFonts w:eastAsia="Times New Roman" w:cs="Times New Roman"/>
          <w:kern w:val="0"/>
          <w:sz w:val="21"/>
          <w:szCs w:val="21"/>
          <w:lang w:val="zh-CN"/>
        </w:rPr>
        <w:t>”</w:t>
      </w:r>
      <w:r>
        <w:rPr>
          <w:rFonts w:ascii="宋体" w:hAnsi="宋体" w:hint="eastAsia"/>
          <w:kern w:val="0"/>
          <w:sz w:val="21"/>
          <w:szCs w:val="21"/>
          <w:lang w:val="zh-CN"/>
        </w:rPr>
        <w:t>为使命，以</w:t>
      </w:r>
      <w:r>
        <w:rPr>
          <w:rFonts w:eastAsia="Times New Roman" w:cs="Times New Roman"/>
          <w:kern w:val="0"/>
          <w:sz w:val="21"/>
          <w:szCs w:val="21"/>
          <w:lang w:val="zh-CN"/>
        </w:rPr>
        <w:t>“</w:t>
      </w:r>
      <w:r>
        <w:rPr>
          <w:rFonts w:ascii="宋体" w:hAnsi="宋体" w:hint="eastAsia"/>
          <w:kern w:val="0"/>
          <w:sz w:val="21"/>
          <w:szCs w:val="21"/>
          <w:lang w:val="zh-CN"/>
        </w:rPr>
        <w:t>客户至上，奋斗为本</w:t>
      </w:r>
      <w:r>
        <w:rPr>
          <w:rFonts w:eastAsia="Times New Roman" w:cs="Times New Roman"/>
          <w:kern w:val="0"/>
          <w:sz w:val="21"/>
          <w:szCs w:val="21"/>
          <w:lang w:val="zh-CN"/>
        </w:rPr>
        <w:t>”</w:t>
      </w:r>
      <w:r>
        <w:rPr>
          <w:rFonts w:ascii="宋体" w:hAnsi="宋体" w:hint="eastAsia"/>
          <w:kern w:val="0"/>
          <w:sz w:val="21"/>
          <w:szCs w:val="21"/>
          <w:lang w:val="zh-CN"/>
        </w:rPr>
        <w:t>为企业核心价值观。公司明确了</w:t>
      </w:r>
      <w:r>
        <w:rPr>
          <w:rFonts w:eastAsia="Times New Roman" w:cs="Times New Roman"/>
          <w:kern w:val="0"/>
          <w:sz w:val="21"/>
          <w:szCs w:val="21"/>
          <w:lang w:val="zh-CN"/>
        </w:rPr>
        <w:t>“131”</w:t>
      </w:r>
      <w:r>
        <w:rPr>
          <w:rFonts w:ascii="宋体" w:hAnsi="宋体" w:hint="eastAsia"/>
          <w:kern w:val="0"/>
          <w:sz w:val="21"/>
          <w:szCs w:val="21"/>
          <w:lang w:val="zh-CN"/>
        </w:rPr>
        <w:t>战略规划，即</w:t>
      </w:r>
      <w:r>
        <w:rPr>
          <w:rFonts w:eastAsia="Times New Roman" w:cs="Times New Roman"/>
          <w:kern w:val="0"/>
          <w:sz w:val="21"/>
          <w:szCs w:val="21"/>
          <w:lang w:val="zh-CN"/>
        </w:rPr>
        <w:t>“</w:t>
      </w:r>
      <w:r>
        <w:rPr>
          <w:rFonts w:ascii="宋体" w:hAnsi="宋体" w:hint="eastAsia"/>
          <w:kern w:val="0"/>
          <w:sz w:val="21"/>
          <w:szCs w:val="21"/>
          <w:lang w:val="zh-CN"/>
        </w:rPr>
        <w:t>一个国家战略引领，三个支柱业务，一个支撑平台</w:t>
      </w:r>
      <w:r>
        <w:rPr>
          <w:rFonts w:eastAsia="Times New Roman" w:cs="Times New Roman"/>
          <w:kern w:val="0"/>
          <w:sz w:val="21"/>
          <w:szCs w:val="21"/>
          <w:lang w:val="zh-CN"/>
        </w:rPr>
        <w:t>”</w:t>
      </w:r>
      <w:r>
        <w:rPr>
          <w:rFonts w:ascii="宋体" w:hAnsi="宋体" w:hint="eastAsia"/>
          <w:kern w:val="0"/>
          <w:sz w:val="21"/>
          <w:szCs w:val="21"/>
          <w:lang w:val="zh-CN"/>
        </w:rPr>
        <w:t>。公司坚持国际化驱动本地化、资本驱动实业、军民深度融合相互驱动的</w:t>
      </w:r>
      <w:r>
        <w:rPr>
          <w:rFonts w:eastAsia="Times New Roman" w:cs="Times New Roman"/>
          <w:kern w:val="0"/>
          <w:sz w:val="21"/>
          <w:szCs w:val="21"/>
          <w:lang w:val="zh-CN"/>
        </w:rPr>
        <w:t>“</w:t>
      </w:r>
      <w:r>
        <w:rPr>
          <w:rFonts w:ascii="宋体" w:hAnsi="宋体" w:hint="eastAsia"/>
          <w:kern w:val="0"/>
          <w:sz w:val="21"/>
          <w:szCs w:val="21"/>
          <w:lang w:val="zh-CN"/>
        </w:rPr>
        <w:t>三驱动战略</w:t>
      </w:r>
      <w:r>
        <w:rPr>
          <w:rFonts w:eastAsia="Times New Roman" w:cs="Times New Roman"/>
          <w:kern w:val="0"/>
          <w:sz w:val="21"/>
          <w:szCs w:val="21"/>
          <w:lang w:val="zh-CN"/>
        </w:rPr>
        <w:t>”</w:t>
      </w:r>
      <w:r>
        <w:rPr>
          <w:rFonts w:ascii="宋体" w:hAnsi="宋体" w:hint="eastAsia"/>
          <w:kern w:val="0"/>
          <w:sz w:val="21"/>
          <w:szCs w:val="21"/>
          <w:lang w:val="zh-CN"/>
        </w:rPr>
        <w:t>。从市场角度，公司定位于</w:t>
      </w:r>
      <w:r>
        <w:rPr>
          <w:rFonts w:eastAsia="Times New Roman" w:cs="Times New Roman"/>
          <w:kern w:val="0"/>
          <w:sz w:val="21"/>
          <w:szCs w:val="21"/>
          <w:lang w:val="zh-CN"/>
        </w:rPr>
        <w:t>“</w:t>
      </w:r>
      <w:r>
        <w:rPr>
          <w:rFonts w:ascii="宋体" w:hAnsi="宋体" w:hint="eastAsia"/>
          <w:kern w:val="0"/>
          <w:sz w:val="21"/>
          <w:szCs w:val="21"/>
          <w:lang w:val="zh-CN"/>
        </w:rPr>
        <w:t>智能航海</w:t>
      </w:r>
      <w:r>
        <w:rPr>
          <w:rFonts w:eastAsia="Times New Roman" w:cs="Times New Roman"/>
          <w:kern w:val="0"/>
          <w:sz w:val="21"/>
          <w:szCs w:val="21"/>
          <w:lang w:val="zh-CN"/>
        </w:rPr>
        <w:t>”</w:t>
      </w:r>
      <w:r>
        <w:rPr>
          <w:rFonts w:ascii="宋体" w:hAnsi="宋体" w:hint="eastAsia"/>
          <w:kern w:val="0"/>
          <w:sz w:val="21"/>
          <w:szCs w:val="21"/>
          <w:lang w:val="zh-CN"/>
        </w:rPr>
        <w:t>与</w:t>
      </w:r>
      <w:r>
        <w:rPr>
          <w:rFonts w:eastAsia="Times New Roman" w:cs="Times New Roman"/>
          <w:kern w:val="0"/>
          <w:sz w:val="21"/>
          <w:szCs w:val="21"/>
          <w:lang w:val="zh-CN"/>
        </w:rPr>
        <w:t>“</w:t>
      </w:r>
      <w:r>
        <w:rPr>
          <w:rFonts w:ascii="宋体" w:hAnsi="宋体" w:hint="eastAsia"/>
          <w:kern w:val="0"/>
          <w:sz w:val="21"/>
          <w:szCs w:val="21"/>
          <w:lang w:val="zh-CN"/>
        </w:rPr>
        <w:t>智慧海洋</w:t>
      </w:r>
      <w:r>
        <w:rPr>
          <w:rFonts w:eastAsia="Times New Roman" w:cs="Times New Roman"/>
          <w:kern w:val="0"/>
          <w:sz w:val="21"/>
          <w:szCs w:val="21"/>
          <w:lang w:val="zh-CN"/>
        </w:rPr>
        <w:t>”</w:t>
      </w:r>
      <w:r>
        <w:rPr>
          <w:rFonts w:ascii="宋体" w:hAnsi="宋体" w:hint="eastAsia"/>
          <w:kern w:val="0"/>
          <w:sz w:val="21"/>
          <w:szCs w:val="21"/>
          <w:lang w:val="zh-CN"/>
        </w:rPr>
        <w:t>领域，公司在该领域有多年的积累，并建立了一定的独特优势，公司的进一步聚焦与深耕，将有助于公司提升综合竞争能力，形成差异化竞争优势。</w:t>
      </w:r>
    </w:p>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eastAsia="Times New Roman" w:cs="Times New Roman"/>
          <w:b/>
          <w:bCs/>
          <w:kern w:val="0"/>
          <w:sz w:val="21"/>
          <w:szCs w:val="21"/>
          <w:lang w:val="zh-CN"/>
        </w:rPr>
        <w:t>2</w:t>
      </w:r>
      <w:r>
        <w:rPr>
          <w:rFonts w:ascii="宋体" w:hAnsi="宋体" w:hint="eastAsia"/>
          <w:b/>
          <w:bCs/>
          <w:kern w:val="0"/>
          <w:sz w:val="21"/>
          <w:szCs w:val="21"/>
          <w:lang w:val="zh-CN"/>
        </w:rPr>
        <w:t>、国际化视野，技术立足行业前沿</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公司遵循</w:t>
      </w:r>
      <w:r>
        <w:rPr>
          <w:rFonts w:eastAsia="Times New Roman" w:cs="Times New Roman"/>
          <w:kern w:val="0"/>
          <w:sz w:val="21"/>
          <w:szCs w:val="21"/>
          <w:lang w:val="zh-CN"/>
        </w:rPr>
        <w:t>“</w:t>
      </w:r>
      <w:r>
        <w:rPr>
          <w:rFonts w:ascii="宋体" w:hAnsi="宋体" w:hint="eastAsia"/>
          <w:kern w:val="0"/>
          <w:sz w:val="21"/>
          <w:szCs w:val="21"/>
          <w:lang w:val="zh-CN"/>
        </w:rPr>
        <w:t>自主研发为基础、国际合作创一流</w:t>
      </w:r>
      <w:r>
        <w:rPr>
          <w:rFonts w:eastAsia="Times New Roman" w:cs="Times New Roman"/>
          <w:kern w:val="0"/>
          <w:sz w:val="21"/>
          <w:szCs w:val="21"/>
          <w:lang w:val="zh-CN"/>
        </w:rPr>
        <w:t>”</w:t>
      </w:r>
      <w:r>
        <w:rPr>
          <w:rFonts w:ascii="宋体" w:hAnsi="宋体" w:hint="eastAsia"/>
          <w:kern w:val="0"/>
          <w:sz w:val="21"/>
          <w:szCs w:val="21"/>
          <w:lang w:val="zh-CN"/>
        </w:rPr>
        <w:t>的研发理念，汇集了</w:t>
      </w:r>
      <w:r>
        <w:rPr>
          <w:rFonts w:eastAsia="Times New Roman" w:cs="Times New Roman"/>
          <w:kern w:val="0"/>
          <w:sz w:val="21"/>
          <w:szCs w:val="21"/>
          <w:lang w:val="zh-CN"/>
        </w:rPr>
        <w:t>200</w:t>
      </w:r>
      <w:r>
        <w:rPr>
          <w:rFonts w:ascii="宋体" w:hAnsi="宋体" w:hint="eastAsia"/>
          <w:kern w:val="0"/>
          <w:sz w:val="21"/>
          <w:szCs w:val="21"/>
          <w:lang w:val="zh-CN"/>
        </w:rPr>
        <w:t>多人的国内、国际（意大利、德国、俄罗斯等）技术团队；公司积极开展国际合作，尤其是在国外建立研发机构，提升研发水平及实力，持续保持技术的创新性和前瞻性。公司也获得了国家高新技术企业、船舶导航信息技术工程实验室、北京</w:t>
      </w:r>
      <w:r>
        <w:rPr>
          <w:rFonts w:ascii="宋体" w:hAnsi="宋体" w:hint="eastAsia"/>
          <w:kern w:val="0"/>
          <w:sz w:val="21"/>
          <w:szCs w:val="21"/>
          <w:lang w:val="zh-CN"/>
        </w:rPr>
        <w:lastRenderedPageBreak/>
        <w:t>市企业技术中心、北京市国际科技合作基地等荣誉资质。</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在国际化方面，公司一直注重建立并提升全球服务能力。截至目前，公司在美国、法国、俄罗斯、比利时、西班牙、加拿大、巴西、印度、韩国、新加坡等</w:t>
      </w:r>
      <w:r>
        <w:rPr>
          <w:rFonts w:eastAsia="Times New Roman" w:cs="Times New Roman"/>
          <w:kern w:val="0"/>
          <w:sz w:val="21"/>
          <w:szCs w:val="21"/>
          <w:lang w:val="zh-CN"/>
        </w:rPr>
        <w:t>40</w:t>
      </w:r>
      <w:r>
        <w:rPr>
          <w:rFonts w:ascii="宋体" w:hAnsi="宋体" w:hint="eastAsia"/>
          <w:kern w:val="0"/>
          <w:sz w:val="21"/>
          <w:szCs w:val="21"/>
          <w:lang w:val="zh-CN"/>
        </w:rPr>
        <w:t>多个国家和地区建立了</w:t>
      </w:r>
      <w:r>
        <w:rPr>
          <w:rFonts w:eastAsia="Times New Roman" w:cs="Times New Roman"/>
          <w:kern w:val="0"/>
          <w:sz w:val="21"/>
          <w:szCs w:val="21"/>
          <w:lang w:val="zh-CN"/>
        </w:rPr>
        <w:t>80</w:t>
      </w:r>
      <w:r>
        <w:rPr>
          <w:rFonts w:ascii="宋体" w:hAnsi="宋体" w:hint="eastAsia"/>
          <w:kern w:val="0"/>
          <w:sz w:val="21"/>
          <w:szCs w:val="21"/>
          <w:lang w:val="zh-CN"/>
        </w:rPr>
        <w:t>多个服务网点。</w:t>
      </w:r>
    </w:p>
    <w:p w:rsidR="00A9288A" w:rsidRDefault="007A4434">
      <w:pPr>
        <w:autoSpaceDE w:val="0"/>
        <w:autoSpaceDN w:val="0"/>
        <w:adjustRightInd w:val="0"/>
        <w:spacing w:before="0" w:after="0"/>
        <w:ind w:firstLine="420"/>
        <w:rPr>
          <w:rFonts w:eastAsia="Times New Roman" w:cs="Times New Roman"/>
          <w:b/>
          <w:bCs/>
          <w:kern w:val="0"/>
          <w:sz w:val="21"/>
          <w:szCs w:val="21"/>
          <w:lang w:val="zh-CN"/>
        </w:rPr>
      </w:pPr>
      <w:r>
        <w:rPr>
          <w:rFonts w:ascii="宋体" w:hAnsi="宋体" w:hint="eastAsia"/>
          <w:kern w:val="0"/>
          <w:sz w:val="21"/>
          <w:szCs w:val="21"/>
          <w:lang w:val="zh-CN"/>
        </w:rPr>
        <w:t>公司一直注重通过国际并购整合行业资源，其中以面向欧洲为主拓展智能航海，以北美为主拓展智慧海洋。尤其在智慧海洋领域，海兰信控股子公司劳雷产业是国内领先的海洋调查仪器应用与系统集成服务公司，在全球海洋调查领域具有较高知名度和影响力，并与全球领先的仪器厂商建立了广泛的合作关系，其超前的国际化视野及优秀的技术基础，为海兰信深入推进智慧海洋战略提供了丰富的核心技术储备和产品来源，将加速公司完善智慧海洋领域的业务布局。</w:t>
      </w:r>
    </w:p>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eastAsia="Times New Roman" w:cs="Times New Roman"/>
          <w:b/>
          <w:bCs/>
          <w:kern w:val="0"/>
          <w:sz w:val="21"/>
          <w:szCs w:val="21"/>
          <w:lang w:val="zh-CN"/>
        </w:rPr>
        <w:t>3</w:t>
      </w:r>
      <w:r>
        <w:rPr>
          <w:rFonts w:ascii="宋体" w:hAnsi="宋体" w:hint="eastAsia"/>
          <w:b/>
          <w:bCs/>
          <w:kern w:val="0"/>
          <w:sz w:val="21"/>
          <w:szCs w:val="21"/>
          <w:lang w:val="zh-CN"/>
        </w:rPr>
        <w:t>、军民产业深度协同，相互促进</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在民用领域，公司的所有航海产品均按照国际标准研制，拥有国际船级社的证书。公司所有海洋产品，广泛应用于科学考察、环境调查等领域。公司产品及服务得到民用领域客户的广泛认同，也有较高的市场占有率及领先优势。以上民用领域的技术积累与客户经验等对公司军用领域业务拓展有直接的借鉴意义。</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公司拥有国家二级保密资格证书、军工产品质量体系认证证书、装备承制单位资格证书等齐全的军工资质。公司作为中国海军的装备供应商，产品已应用到包括中国首艘航母</w:t>
      </w:r>
      <w:r>
        <w:rPr>
          <w:rFonts w:eastAsia="Times New Roman" w:cs="Times New Roman"/>
          <w:kern w:val="0"/>
          <w:sz w:val="21"/>
          <w:szCs w:val="21"/>
          <w:lang w:val="zh-CN"/>
        </w:rPr>
        <w:t>“</w:t>
      </w:r>
      <w:r>
        <w:rPr>
          <w:rFonts w:ascii="宋体" w:hAnsi="宋体" w:hint="eastAsia"/>
          <w:kern w:val="0"/>
          <w:sz w:val="21"/>
          <w:szCs w:val="21"/>
          <w:lang w:val="zh-CN"/>
        </w:rPr>
        <w:t>辽宁舰</w:t>
      </w:r>
      <w:r>
        <w:rPr>
          <w:rFonts w:eastAsia="Times New Roman" w:cs="Times New Roman"/>
          <w:kern w:val="0"/>
          <w:sz w:val="21"/>
          <w:szCs w:val="21"/>
          <w:lang w:val="zh-CN"/>
        </w:rPr>
        <w:t>”</w:t>
      </w:r>
      <w:r>
        <w:rPr>
          <w:rFonts w:ascii="宋体" w:hAnsi="宋体" w:hint="eastAsia"/>
          <w:kern w:val="0"/>
          <w:sz w:val="21"/>
          <w:szCs w:val="21"/>
          <w:lang w:val="zh-CN"/>
        </w:rPr>
        <w:t>在内的各类舰船上，并实现了从单一产品供应向提供系统解决方案的转变；公司是首次入选国防军工板块的</w:t>
      </w:r>
      <w:r>
        <w:rPr>
          <w:rFonts w:eastAsia="Times New Roman" w:cs="Times New Roman"/>
          <w:kern w:val="0"/>
          <w:sz w:val="21"/>
          <w:szCs w:val="21"/>
          <w:lang w:val="zh-CN"/>
        </w:rPr>
        <w:t>16</w:t>
      </w:r>
      <w:r>
        <w:rPr>
          <w:rFonts w:ascii="宋体" w:hAnsi="宋体" w:hint="eastAsia"/>
          <w:kern w:val="0"/>
          <w:sz w:val="21"/>
          <w:szCs w:val="21"/>
          <w:lang w:val="zh-CN"/>
        </w:rPr>
        <w:t>家民营上市公司之一。</w:t>
      </w:r>
      <w:r>
        <w:rPr>
          <w:rFonts w:eastAsia="Times New Roman" w:cs="Times New Roman"/>
          <w:kern w:val="0"/>
          <w:sz w:val="21"/>
          <w:szCs w:val="21"/>
          <w:lang w:val="zh-CN"/>
        </w:rPr>
        <w:t>2016</w:t>
      </w:r>
      <w:r>
        <w:rPr>
          <w:rFonts w:ascii="宋体" w:hAnsi="宋体" w:hint="eastAsia"/>
          <w:kern w:val="0"/>
          <w:sz w:val="21"/>
          <w:szCs w:val="21"/>
          <w:lang w:val="zh-CN"/>
        </w:rPr>
        <w:t>年公司参加</w:t>
      </w:r>
      <w:r>
        <w:rPr>
          <w:rFonts w:eastAsia="Times New Roman" w:cs="Times New Roman"/>
          <w:kern w:val="0"/>
          <w:sz w:val="21"/>
          <w:szCs w:val="21"/>
          <w:lang w:val="zh-CN"/>
        </w:rPr>
        <w:t>“</w:t>
      </w:r>
      <w:r>
        <w:rPr>
          <w:rFonts w:ascii="宋体" w:hAnsi="宋体" w:hint="eastAsia"/>
          <w:kern w:val="0"/>
          <w:sz w:val="21"/>
          <w:szCs w:val="21"/>
          <w:lang w:val="zh-CN"/>
        </w:rPr>
        <w:t>第二届军民融合发展高技术成果展</w:t>
      </w:r>
      <w:r>
        <w:rPr>
          <w:rFonts w:eastAsia="Times New Roman" w:cs="Times New Roman"/>
          <w:kern w:val="0"/>
          <w:sz w:val="21"/>
          <w:szCs w:val="21"/>
          <w:lang w:val="zh-CN"/>
        </w:rPr>
        <w:t>”</w:t>
      </w:r>
      <w:r>
        <w:rPr>
          <w:rFonts w:ascii="宋体" w:hAnsi="宋体" w:hint="eastAsia"/>
          <w:kern w:val="0"/>
          <w:sz w:val="21"/>
          <w:szCs w:val="21"/>
          <w:lang w:val="zh-CN"/>
        </w:rPr>
        <w:t>，向党和国家领导人、部队首长机关汇报最新的海底网设备的技术和应用情况，深入推进军工业务发展。</w:t>
      </w:r>
      <w:r>
        <w:rPr>
          <w:rFonts w:eastAsia="Times New Roman" w:cs="Times New Roman"/>
          <w:kern w:val="0"/>
          <w:sz w:val="21"/>
          <w:szCs w:val="21"/>
          <w:lang w:val="zh-CN"/>
        </w:rPr>
        <w:t>2017</w:t>
      </w:r>
      <w:r>
        <w:rPr>
          <w:rFonts w:ascii="宋体" w:hAnsi="宋体" w:hint="eastAsia"/>
          <w:kern w:val="0"/>
          <w:sz w:val="21"/>
          <w:szCs w:val="21"/>
          <w:lang w:val="zh-CN"/>
        </w:rPr>
        <w:t>年公司公告拟收购在舰船损害管理监控领域具有较高市场份额的常熟电子，双方将通过集成损管监控管理、</w:t>
      </w:r>
      <w:r>
        <w:rPr>
          <w:rFonts w:eastAsia="Times New Roman" w:cs="Times New Roman"/>
          <w:kern w:val="0"/>
          <w:sz w:val="21"/>
          <w:szCs w:val="21"/>
          <w:lang w:val="zh-CN"/>
        </w:rPr>
        <w:t>INS</w:t>
      </w:r>
      <w:r>
        <w:rPr>
          <w:rFonts w:ascii="宋体" w:hAnsi="宋体" w:hint="eastAsia"/>
          <w:kern w:val="0"/>
          <w:sz w:val="21"/>
          <w:szCs w:val="21"/>
          <w:lang w:val="zh-CN"/>
        </w:rPr>
        <w:t>、机舱自动化等系统，开发形成全新的损管监测报警智能化系统，和系列化机舱领域相关产品，提高公司核心产品的竞争力。航海与海洋技术与装备属于典型的军民共用、军民融合发展领域，未来随着军队改革的深入以及海洋维权等防务能力要求的提高，公司军民领域相互促进、深度融合的模式，将对公司发展产生巨大驱动力。</w:t>
      </w:r>
    </w:p>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eastAsia="Times New Roman" w:cs="Times New Roman"/>
          <w:b/>
          <w:bCs/>
          <w:kern w:val="0"/>
          <w:sz w:val="21"/>
          <w:szCs w:val="21"/>
          <w:lang w:val="zh-CN"/>
        </w:rPr>
        <w:t>4</w:t>
      </w:r>
      <w:r>
        <w:rPr>
          <w:rFonts w:ascii="宋体" w:hAnsi="宋体" w:hint="eastAsia"/>
          <w:b/>
          <w:bCs/>
          <w:kern w:val="0"/>
          <w:sz w:val="21"/>
          <w:szCs w:val="21"/>
          <w:lang w:val="zh-CN"/>
        </w:rPr>
        <w:t>、拥有多制式雷达信号处理技术，助力公司在智能航行、海洋防务及数字海洋等领域有更大空间</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公司雷达产品线丰富，包括导航雷达、多用途的智能雷达监控系统以及高频地波雷达。成熟及在研产雷达系列品包括</w:t>
      </w:r>
      <w:r>
        <w:rPr>
          <w:rFonts w:eastAsia="Times New Roman" w:cs="Times New Roman"/>
          <w:kern w:val="0"/>
          <w:sz w:val="21"/>
          <w:szCs w:val="21"/>
          <w:lang w:val="zh-CN"/>
        </w:rPr>
        <w:t xml:space="preserve">X/S </w:t>
      </w:r>
      <w:r>
        <w:rPr>
          <w:rFonts w:ascii="宋体" w:hAnsi="宋体" w:hint="eastAsia"/>
          <w:kern w:val="0"/>
          <w:sz w:val="21"/>
          <w:szCs w:val="21"/>
          <w:lang w:val="zh-CN"/>
        </w:rPr>
        <w:t>波段导航雷达，极小目标雷达、溢油雷达、海浪雷达、固态雷达等特种雷达，以及可由上述各型雷达构筑的智能雷达监控系统。其中，船载导航雷达是国内首个获得欧盟认证的自主导航雷达产品，性能满足最新版国际标准。而智能雷达监控系统融合了国际领先的自适应门限杂波抑制技术及先跟踪后探测（</w:t>
      </w:r>
      <w:r>
        <w:rPr>
          <w:rFonts w:eastAsia="Times New Roman" w:cs="Times New Roman"/>
          <w:kern w:val="0"/>
          <w:sz w:val="21"/>
          <w:szCs w:val="21"/>
          <w:lang w:val="zh-CN"/>
        </w:rPr>
        <w:t>TBD</w:t>
      </w:r>
      <w:r>
        <w:rPr>
          <w:rFonts w:ascii="宋体" w:hAnsi="宋体" w:hint="eastAsia"/>
          <w:kern w:val="0"/>
          <w:sz w:val="21"/>
          <w:szCs w:val="21"/>
          <w:lang w:val="zh-CN"/>
        </w:rPr>
        <w:t>）技术，应用领域覆盖岸基安全防务、对海目标监控、舰艇执法、海上搜救等。通过融合船载</w:t>
      </w:r>
      <w:r>
        <w:rPr>
          <w:rFonts w:eastAsia="Times New Roman" w:cs="Times New Roman"/>
          <w:kern w:val="0"/>
          <w:sz w:val="21"/>
          <w:szCs w:val="21"/>
          <w:lang w:val="zh-CN"/>
        </w:rPr>
        <w:t>/</w:t>
      </w:r>
      <w:r>
        <w:rPr>
          <w:rFonts w:ascii="宋体" w:hAnsi="宋体" w:hint="eastAsia"/>
          <w:kern w:val="0"/>
          <w:sz w:val="21"/>
          <w:szCs w:val="21"/>
          <w:lang w:val="zh-CN"/>
        </w:rPr>
        <w:t>舰载导航雷达与智能雷达监控系统信息，可进一步提高雷达系统覆盖范围以及目标探测和识别、跟踪能力。与国外一流公司合作的高频地波雷达系统，技术处于国际领先水平，可实现岛屿或海岸外上百公里的表层海流监测，海啸预警。公司将智能雷达监控系统相关技术结合高频地波雷达，将远距离表层流场与目标探测相结合，实现岸基对海面观测的综合应用。所有类别的雷达产品信息融合、关联，可实现雷达探测的智慧互联，丰富的雷达产品线保障公司有能力为客户提供</w:t>
      </w:r>
      <w:r>
        <w:rPr>
          <w:rFonts w:eastAsia="Times New Roman" w:cs="Times New Roman"/>
          <w:kern w:val="0"/>
          <w:sz w:val="21"/>
          <w:szCs w:val="21"/>
          <w:lang w:val="zh-CN"/>
        </w:rPr>
        <w:t>“</w:t>
      </w:r>
      <w:r>
        <w:rPr>
          <w:rFonts w:ascii="宋体" w:hAnsi="宋体" w:hint="eastAsia"/>
          <w:kern w:val="0"/>
          <w:sz w:val="21"/>
          <w:szCs w:val="21"/>
          <w:lang w:val="zh-CN"/>
        </w:rPr>
        <w:t>近岸</w:t>
      </w:r>
      <w:r>
        <w:rPr>
          <w:rFonts w:eastAsia="Times New Roman" w:cs="Times New Roman"/>
          <w:kern w:val="0"/>
          <w:sz w:val="21"/>
          <w:szCs w:val="21"/>
          <w:lang w:val="zh-CN"/>
        </w:rPr>
        <w:t>+</w:t>
      </w:r>
      <w:r>
        <w:rPr>
          <w:rFonts w:ascii="宋体" w:hAnsi="宋体" w:hint="eastAsia"/>
          <w:kern w:val="0"/>
          <w:sz w:val="21"/>
          <w:szCs w:val="21"/>
          <w:lang w:val="zh-CN"/>
        </w:rPr>
        <w:t>近海</w:t>
      </w:r>
      <w:r>
        <w:rPr>
          <w:rFonts w:eastAsia="Times New Roman" w:cs="Times New Roman"/>
          <w:kern w:val="0"/>
          <w:sz w:val="21"/>
          <w:szCs w:val="21"/>
          <w:lang w:val="zh-CN"/>
        </w:rPr>
        <w:t>+</w:t>
      </w:r>
      <w:r>
        <w:rPr>
          <w:rFonts w:ascii="宋体" w:hAnsi="宋体" w:hint="eastAsia"/>
          <w:kern w:val="0"/>
          <w:sz w:val="21"/>
          <w:szCs w:val="21"/>
          <w:lang w:val="zh-CN"/>
        </w:rPr>
        <w:t>中远海</w:t>
      </w:r>
      <w:r>
        <w:rPr>
          <w:rFonts w:eastAsia="Times New Roman" w:cs="Times New Roman"/>
          <w:kern w:val="0"/>
          <w:sz w:val="21"/>
          <w:szCs w:val="21"/>
          <w:lang w:val="zh-CN"/>
        </w:rPr>
        <w:t>”</w:t>
      </w:r>
      <w:r>
        <w:rPr>
          <w:rFonts w:ascii="宋体" w:hAnsi="宋体" w:hint="eastAsia"/>
          <w:kern w:val="0"/>
          <w:sz w:val="21"/>
          <w:szCs w:val="21"/>
          <w:lang w:val="zh-CN"/>
        </w:rPr>
        <w:t>的海域监测雷达系统，以及完整的海上态势信息，助力公司在智能航行、海洋防务和数字海洋等领域提供多种类型的产品或服务，拓展了公司业务范围和模式。</w:t>
      </w:r>
    </w:p>
    <w:p w:rsidR="00A9288A" w:rsidRDefault="007A4434">
      <w:pPr>
        <w:autoSpaceDE w:val="0"/>
        <w:autoSpaceDN w:val="0"/>
        <w:adjustRightInd w:val="0"/>
        <w:spacing w:before="0" w:after="0"/>
        <w:ind w:firstLine="422"/>
        <w:rPr>
          <w:rFonts w:eastAsia="Times New Roman" w:cs="Times New Roman"/>
          <w:kern w:val="0"/>
          <w:sz w:val="21"/>
          <w:szCs w:val="21"/>
          <w:lang w:val="zh-CN"/>
        </w:rPr>
      </w:pPr>
      <w:r>
        <w:rPr>
          <w:rFonts w:eastAsia="Times New Roman" w:cs="Times New Roman"/>
          <w:b/>
          <w:bCs/>
          <w:kern w:val="0"/>
          <w:sz w:val="21"/>
          <w:szCs w:val="21"/>
          <w:lang w:val="zh-CN"/>
        </w:rPr>
        <w:t>5</w:t>
      </w:r>
      <w:r>
        <w:rPr>
          <w:rFonts w:ascii="宋体" w:hAnsi="宋体" w:hint="eastAsia"/>
          <w:b/>
          <w:bCs/>
          <w:kern w:val="0"/>
          <w:sz w:val="21"/>
          <w:szCs w:val="21"/>
          <w:lang w:val="zh-CN"/>
        </w:rPr>
        <w:t>、以</w:t>
      </w:r>
      <w:r>
        <w:rPr>
          <w:rFonts w:eastAsia="Times New Roman" w:cs="Times New Roman"/>
          <w:b/>
          <w:bCs/>
          <w:kern w:val="0"/>
          <w:sz w:val="21"/>
          <w:szCs w:val="21"/>
          <w:lang w:val="zh-CN"/>
        </w:rPr>
        <w:t>“</w:t>
      </w:r>
      <w:r>
        <w:rPr>
          <w:rFonts w:ascii="宋体" w:hAnsi="宋体" w:hint="eastAsia"/>
          <w:b/>
          <w:bCs/>
          <w:kern w:val="0"/>
          <w:sz w:val="21"/>
          <w:szCs w:val="21"/>
          <w:lang w:val="zh-CN"/>
        </w:rPr>
        <w:t>海兰云</w:t>
      </w:r>
      <w:r>
        <w:rPr>
          <w:rFonts w:eastAsia="Times New Roman" w:cs="Times New Roman"/>
          <w:b/>
          <w:bCs/>
          <w:kern w:val="0"/>
          <w:sz w:val="21"/>
          <w:szCs w:val="21"/>
          <w:lang w:val="zh-CN"/>
        </w:rPr>
        <w:t>”</w:t>
      </w:r>
      <w:r>
        <w:rPr>
          <w:rFonts w:ascii="宋体" w:hAnsi="宋体" w:hint="eastAsia"/>
          <w:b/>
          <w:bCs/>
          <w:kern w:val="0"/>
          <w:sz w:val="21"/>
          <w:szCs w:val="21"/>
          <w:lang w:val="zh-CN"/>
        </w:rPr>
        <w:t>为载体，促进</w:t>
      </w:r>
      <w:r>
        <w:rPr>
          <w:rFonts w:eastAsia="Times New Roman" w:cs="Times New Roman"/>
          <w:b/>
          <w:bCs/>
          <w:kern w:val="0"/>
          <w:sz w:val="21"/>
          <w:szCs w:val="21"/>
          <w:lang w:val="zh-CN"/>
        </w:rPr>
        <w:t>“</w:t>
      </w:r>
      <w:r>
        <w:rPr>
          <w:rFonts w:ascii="宋体" w:hAnsi="宋体" w:hint="eastAsia"/>
          <w:b/>
          <w:bCs/>
          <w:kern w:val="0"/>
          <w:sz w:val="21"/>
          <w:szCs w:val="21"/>
          <w:lang w:val="zh-CN"/>
        </w:rPr>
        <w:t>航海</w:t>
      </w:r>
      <w:r>
        <w:rPr>
          <w:rFonts w:eastAsia="Times New Roman" w:cs="Times New Roman"/>
          <w:b/>
          <w:bCs/>
          <w:kern w:val="0"/>
          <w:sz w:val="21"/>
          <w:szCs w:val="21"/>
          <w:lang w:val="zh-CN"/>
        </w:rPr>
        <w:t>”+“</w:t>
      </w:r>
      <w:r>
        <w:rPr>
          <w:rFonts w:ascii="宋体" w:hAnsi="宋体" w:hint="eastAsia"/>
          <w:b/>
          <w:bCs/>
          <w:kern w:val="0"/>
          <w:sz w:val="21"/>
          <w:szCs w:val="21"/>
          <w:lang w:val="zh-CN"/>
        </w:rPr>
        <w:t>海洋</w:t>
      </w:r>
      <w:r>
        <w:rPr>
          <w:rFonts w:eastAsia="Times New Roman" w:cs="Times New Roman"/>
          <w:b/>
          <w:bCs/>
          <w:kern w:val="0"/>
          <w:sz w:val="21"/>
          <w:szCs w:val="21"/>
          <w:lang w:val="zh-CN"/>
        </w:rPr>
        <w:t>”</w:t>
      </w:r>
      <w:r>
        <w:rPr>
          <w:rFonts w:ascii="宋体" w:hAnsi="宋体" w:hint="eastAsia"/>
          <w:b/>
          <w:bCs/>
          <w:kern w:val="0"/>
          <w:sz w:val="21"/>
          <w:szCs w:val="21"/>
          <w:lang w:val="zh-CN"/>
        </w:rPr>
        <w:t>融合形成差异化能力体系</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随着中国从造船大国向造船强国转变，中国建设强大海军的战略引领，公司航海智能化业务将进入快速增长期。同时，为服务于国家海洋强国战略以及海上丝绸之路倡议，国家智慧海洋等项目相继启动，公司将会迎来海洋产业快速发展期。</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公司始终专注于</w:t>
      </w:r>
      <w:r>
        <w:rPr>
          <w:rFonts w:eastAsia="Times New Roman" w:cs="Times New Roman"/>
          <w:kern w:val="0"/>
          <w:sz w:val="21"/>
          <w:szCs w:val="21"/>
          <w:lang w:val="zh-CN"/>
        </w:rPr>
        <w:t>“</w:t>
      </w:r>
      <w:r>
        <w:rPr>
          <w:rFonts w:ascii="宋体" w:hAnsi="宋体" w:hint="eastAsia"/>
          <w:kern w:val="0"/>
          <w:sz w:val="21"/>
          <w:szCs w:val="21"/>
          <w:lang w:val="zh-CN"/>
        </w:rPr>
        <w:t>航海</w:t>
      </w:r>
      <w:r>
        <w:rPr>
          <w:rFonts w:eastAsia="Times New Roman" w:cs="Times New Roman"/>
          <w:kern w:val="0"/>
          <w:sz w:val="21"/>
          <w:szCs w:val="21"/>
          <w:lang w:val="zh-CN"/>
        </w:rPr>
        <w:t>”+“</w:t>
      </w:r>
      <w:r>
        <w:rPr>
          <w:rFonts w:ascii="宋体" w:hAnsi="宋体" w:hint="eastAsia"/>
          <w:kern w:val="0"/>
          <w:sz w:val="21"/>
          <w:szCs w:val="21"/>
          <w:lang w:val="zh-CN"/>
        </w:rPr>
        <w:t>海洋</w:t>
      </w:r>
      <w:r>
        <w:rPr>
          <w:rFonts w:eastAsia="Times New Roman" w:cs="Times New Roman"/>
          <w:kern w:val="0"/>
          <w:sz w:val="21"/>
          <w:szCs w:val="21"/>
          <w:lang w:val="zh-CN"/>
        </w:rPr>
        <w:t>”</w:t>
      </w:r>
      <w:r>
        <w:rPr>
          <w:rFonts w:ascii="宋体" w:hAnsi="宋体" w:hint="eastAsia"/>
          <w:kern w:val="0"/>
          <w:sz w:val="21"/>
          <w:szCs w:val="21"/>
          <w:lang w:val="zh-CN"/>
        </w:rPr>
        <w:t>业务领域。二者除了客户高度重合外，公司借助智能化与大数据，将两个产业技术有机融合，包括：公司为科考船、北极航行的商船提供导航设备外，还提供海洋观测设备；公司为航海客户提供海洋气象与海洋环境信息，使得航运更安全、更节能；公司通过大洋中航行的船舶采集更广范围的海洋要素信息，丰富海洋大数据信息。基于以上积累，公司将不断强化基于智能与数据的服务能力，以</w:t>
      </w:r>
      <w:r>
        <w:rPr>
          <w:rFonts w:eastAsia="Times New Roman" w:cs="Times New Roman"/>
          <w:kern w:val="0"/>
          <w:sz w:val="21"/>
          <w:szCs w:val="21"/>
          <w:lang w:val="zh-CN"/>
        </w:rPr>
        <w:t>“</w:t>
      </w:r>
      <w:r>
        <w:rPr>
          <w:rFonts w:ascii="宋体" w:hAnsi="宋体" w:hint="eastAsia"/>
          <w:kern w:val="0"/>
          <w:sz w:val="21"/>
          <w:szCs w:val="21"/>
          <w:lang w:val="zh-CN"/>
        </w:rPr>
        <w:t>海兰云</w:t>
      </w:r>
      <w:r>
        <w:rPr>
          <w:rFonts w:eastAsia="Times New Roman" w:cs="Times New Roman"/>
          <w:kern w:val="0"/>
          <w:sz w:val="21"/>
          <w:szCs w:val="21"/>
          <w:lang w:val="zh-CN"/>
        </w:rPr>
        <w:t>”</w:t>
      </w:r>
      <w:r>
        <w:rPr>
          <w:rFonts w:ascii="宋体" w:hAnsi="宋体" w:hint="eastAsia"/>
          <w:kern w:val="0"/>
          <w:sz w:val="21"/>
          <w:szCs w:val="21"/>
          <w:lang w:val="zh-CN"/>
        </w:rPr>
        <w:t>为统一载体，为航海与海洋领域客户提供深度信息服务，形成叠加效应。</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作为行业唯一具备</w:t>
      </w:r>
      <w:r>
        <w:rPr>
          <w:rFonts w:eastAsia="Times New Roman" w:cs="Times New Roman"/>
          <w:kern w:val="0"/>
          <w:sz w:val="21"/>
          <w:szCs w:val="21"/>
          <w:lang w:val="zh-CN"/>
        </w:rPr>
        <w:t>“</w:t>
      </w:r>
      <w:r>
        <w:rPr>
          <w:rFonts w:ascii="宋体" w:hAnsi="宋体" w:hint="eastAsia"/>
          <w:kern w:val="0"/>
          <w:sz w:val="21"/>
          <w:szCs w:val="21"/>
          <w:lang w:val="zh-CN"/>
        </w:rPr>
        <w:t>航海</w:t>
      </w:r>
      <w:r>
        <w:rPr>
          <w:rFonts w:eastAsia="Times New Roman" w:cs="Times New Roman"/>
          <w:kern w:val="0"/>
          <w:sz w:val="21"/>
          <w:szCs w:val="21"/>
          <w:lang w:val="zh-CN"/>
        </w:rPr>
        <w:t>”+“</w:t>
      </w:r>
      <w:r>
        <w:rPr>
          <w:rFonts w:ascii="宋体" w:hAnsi="宋体" w:hint="eastAsia"/>
          <w:kern w:val="0"/>
          <w:sz w:val="21"/>
          <w:szCs w:val="21"/>
          <w:lang w:val="zh-CN"/>
        </w:rPr>
        <w:t>海洋</w:t>
      </w:r>
      <w:r>
        <w:rPr>
          <w:rFonts w:eastAsia="Times New Roman" w:cs="Times New Roman"/>
          <w:kern w:val="0"/>
          <w:sz w:val="21"/>
          <w:szCs w:val="21"/>
          <w:lang w:val="zh-CN"/>
        </w:rPr>
        <w:t>”</w:t>
      </w:r>
      <w:r>
        <w:rPr>
          <w:rFonts w:ascii="宋体" w:hAnsi="宋体" w:hint="eastAsia"/>
          <w:kern w:val="0"/>
          <w:sz w:val="21"/>
          <w:szCs w:val="21"/>
          <w:lang w:val="zh-CN"/>
        </w:rPr>
        <w:t>综合技术的上市公司，公司将聚集资源，进一步促进产业融合，强化</w:t>
      </w:r>
      <w:r>
        <w:rPr>
          <w:rFonts w:ascii="宋体" w:hAnsi="宋体" w:hint="eastAsia"/>
          <w:kern w:val="0"/>
          <w:sz w:val="21"/>
          <w:szCs w:val="21"/>
          <w:lang w:val="zh-CN"/>
        </w:rPr>
        <w:lastRenderedPageBreak/>
        <w:t>差异化优势，形成从核心产品、传感器，到关键智能系统，再到基于数据的智能服务的差异化能力体系。</w:t>
      </w:r>
    </w:p>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eastAsia="Times New Roman" w:cs="Times New Roman"/>
          <w:b/>
          <w:bCs/>
          <w:kern w:val="0"/>
          <w:sz w:val="21"/>
          <w:szCs w:val="21"/>
          <w:lang w:val="zh-CN"/>
        </w:rPr>
        <w:t>6</w:t>
      </w:r>
      <w:r>
        <w:rPr>
          <w:rFonts w:ascii="宋体" w:hAnsi="宋体" w:hint="eastAsia"/>
          <w:b/>
          <w:bCs/>
          <w:kern w:val="0"/>
          <w:sz w:val="21"/>
          <w:szCs w:val="21"/>
          <w:lang w:val="zh-CN"/>
        </w:rPr>
        <w:t>、形成了以海南为创新驱动中心的全国布局</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从</w:t>
      </w:r>
      <w:r>
        <w:rPr>
          <w:rFonts w:eastAsia="Times New Roman" w:cs="Times New Roman"/>
          <w:kern w:val="0"/>
          <w:sz w:val="21"/>
          <w:szCs w:val="21"/>
          <w:lang w:val="zh-CN"/>
        </w:rPr>
        <w:t>2012</w:t>
      </w:r>
      <w:r>
        <w:rPr>
          <w:rFonts w:ascii="宋体" w:hAnsi="宋体" w:hint="eastAsia"/>
          <w:kern w:val="0"/>
          <w:sz w:val="21"/>
          <w:szCs w:val="21"/>
          <w:lang w:val="zh-CN"/>
        </w:rPr>
        <w:t>年设立三沙海兰信以来，公司注重海南区域发展，主导了</w:t>
      </w:r>
      <w:r>
        <w:rPr>
          <w:rFonts w:eastAsia="Times New Roman" w:cs="Times New Roman"/>
          <w:kern w:val="0"/>
          <w:sz w:val="21"/>
          <w:szCs w:val="21"/>
          <w:lang w:val="zh-CN"/>
        </w:rPr>
        <w:t>“</w:t>
      </w:r>
      <w:r>
        <w:rPr>
          <w:rFonts w:ascii="宋体" w:hAnsi="宋体" w:hint="eastAsia"/>
          <w:kern w:val="0"/>
          <w:sz w:val="21"/>
          <w:szCs w:val="21"/>
          <w:lang w:val="zh-CN"/>
        </w:rPr>
        <w:t>特种雷达综合监控系统技术与示范项目</w:t>
      </w:r>
      <w:r>
        <w:rPr>
          <w:rFonts w:eastAsia="Times New Roman" w:cs="Times New Roman"/>
          <w:kern w:val="0"/>
          <w:sz w:val="21"/>
          <w:szCs w:val="21"/>
          <w:lang w:val="zh-CN"/>
        </w:rPr>
        <w:t>”</w:t>
      </w:r>
      <w:r>
        <w:rPr>
          <w:rFonts w:ascii="宋体" w:hAnsi="宋体" w:hint="eastAsia"/>
          <w:kern w:val="0"/>
          <w:sz w:val="21"/>
          <w:szCs w:val="21"/>
          <w:lang w:val="zh-CN"/>
        </w:rPr>
        <w:t>等系列项目。</w:t>
      </w:r>
      <w:r>
        <w:rPr>
          <w:rFonts w:eastAsia="Times New Roman" w:cs="Times New Roman"/>
          <w:kern w:val="0"/>
          <w:sz w:val="21"/>
          <w:szCs w:val="21"/>
          <w:lang w:val="zh-CN"/>
        </w:rPr>
        <w:t>2016</w:t>
      </w:r>
      <w:r>
        <w:rPr>
          <w:rFonts w:ascii="宋体" w:hAnsi="宋体" w:hint="eastAsia"/>
          <w:kern w:val="0"/>
          <w:sz w:val="21"/>
          <w:szCs w:val="21"/>
          <w:lang w:val="zh-CN"/>
        </w:rPr>
        <w:t>年，公司与中国几家典型涉海单位共同发起设立三亚寰宇公司，以共享经济模式共建中国近海雷达网，得到了客户的广泛认同。公司积极推进海南区域整合，集团在海南建立区域经营中心，快速聚集资源，抓住国家战略契机，服务国家海南及南海发展战略。目前公司已经在海南区域形成综合服务能力，具体包括：为区域客户提供基于雷达信息的服务，以广东蓝图公司为支撑的海洋综合管理系统，以劳雷产业为支撑为深海项目提供传感器，以智能航海为支撑为大雾航行提供综合解决方案，以近海雷达综合观监测系统为支撑为三沙水下文物、区域海洋牧场以及国家海上保护区提供监控管理服务等。</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公司海南战略深化的成果，将快速向其他海洋省市复制推广。目前，公司已经在广东、福建、浙江、山东、江苏、上海等地设立区域公司或经营单位。公司以海南为深耕，以其他沿海市场为支撑的全国综合布局已经形成，这种布局使得公司形成了既有深耕经验又有广泛市场空间的结构性优势。</w:t>
      </w:r>
    </w:p>
    <w:p w:rsidR="00A9288A" w:rsidRDefault="00A9288A">
      <w:pPr>
        <w:autoSpaceDE w:val="0"/>
        <w:autoSpaceDN w:val="0"/>
        <w:adjustRightInd w:val="0"/>
        <w:spacing w:before="0" w:after="0"/>
        <w:jc w:val="left"/>
        <w:rPr>
          <w:rFonts w:cs="Times New Roman"/>
          <w:kern w:val="0"/>
          <w:sz w:val="24"/>
          <w:szCs w:val="24"/>
        </w:rPr>
        <w:sectPr w:rsidR="00A9288A">
          <w:pgSz w:w="11906" w:h="16838"/>
          <w:pgMar w:top="1440" w:right="1134" w:bottom="1440" w:left="1134" w:header="851" w:footer="992" w:gutter="0"/>
          <w:cols w:space="720"/>
          <w:docGrid w:type="lines" w:linePitch="312"/>
        </w:sectPr>
      </w:pPr>
    </w:p>
    <w:p w:rsidR="00A9288A" w:rsidRDefault="007A4434">
      <w:pPr>
        <w:pStyle w:val="a6"/>
        <w:outlineLvl w:val="0"/>
        <w:rPr>
          <w:rFonts w:eastAsia="Times New Roman" w:cs="Times New Roman"/>
        </w:rPr>
      </w:pPr>
      <w:bookmarkStart w:id="4" w:name="_Toc521663255"/>
      <w:r>
        <w:rPr>
          <w:rFonts w:hint="eastAsia"/>
        </w:rPr>
        <w:lastRenderedPageBreak/>
        <w:t>第四节</w:t>
      </w:r>
      <w:r>
        <w:rPr>
          <w:rFonts w:cs="Times New Roman"/>
        </w:rPr>
        <w:t xml:space="preserve"> </w:t>
      </w:r>
      <w:r>
        <w:rPr>
          <w:rFonts w:hint="eastAsia"/>
        </w:rPr>
        <w:t>经营情况讨论与分析</w:t>
      </w:r>
      <w:bookmarkEnd w:id="4"/>
    </w:p>
    <w:p w:rsidR="00A9288A" w:rsidRDefault="007A4434">
      <w:pPr>
        <w:pStyle w:val="Chapter"/>
        <w:outlineLvl w:val="1"/>
        <w:rPr>
          <w:rFonts w:eastAsia="Times New Roman" w:cs="Times New Roman"/>
        </w:rPr>
      </w:pPr>
      <w:r>
        <w:rPr>
          <w:rFonts w:hint="eastAsia"/>
        </w:rPr>
        <w:t>一、概述</w:t>
      </w:r>
    </w:p>
    <w:p w:rsidR="00A9288A" w:rsidRDefault="007A4434">
      <w:pPr>
        <w:autoSpaceDE w:val="0"/>
        <w:autoSpaceDN w:val="0"/>
        <w:adjustRightInd w:val="0"/>
        <w:spacing w:before="0" w:after="0"/>
        <w:ind w:firstLine="420"/>
        <w:jc w:val="left"/>
        <w:rPr>
          <w:rFonts w:eastAsia="Times New Roman" w:cs="Times New Roman"/>
          <w:kern w:val="0"/>
          <w:sz w:val="21"/>
          <w:szCs w:val="21"/>
          <w:lang w:val="zh-CN"/>
        </w:rPr>
      </w:pPr>
      <w:r>
        <w:rPr>
          <w:rFonts w:ascii="宋体" w:hAnsi="宋体" w:hint="eastAsia"/>
          <w:kern w:val="0"/>
          <w:sz w:val="21"/>
          <w:szCs w:val="21"/>
          <w:lang w:val="zh-CN"/>
        </w:rPr>
        <w:t>报告期内，公司持续聚焦主航道，根据</w:t>
      </w:r>
      <w:r>
        <w:rPr>
          <w:rFonts w:eastAsia="Times New Roman" w:cs="Times New Roman"/>
          <w:kern w:val="0"/>
          <w:sz w:val="21"/>
          <w:szCs w:val="21"/>
          <w:lang w:val="zh-CN"/>
        </w:rPr>
        <w:t>2018</w:t>
      </w:r>
      <w:r>
        <w:rPr>
          <w:rFonts w:ascii="宋体" w:hAnsi="宋体" w:hint="eastAsia"/>
          <w:kern w:val="0"/>
          <w:sz w:val="21"/>
          <w:szCs w:val="21"/>
          <w:lang w:val="zh-CN"/>
        </w:rPr>
        <w:t>年经营思路</w:t>
      </w:r>
      <w:r>
        <w:rPr>
          <w:rFonts w:eastAsia="Times New Roman" w:cs="Times New Roman"/>
          <w:kern w:val="0"/>
          <w:sz w:val="21"/>
          <w:szCs w:val="21"/>
          <w:lang w:val="zh-CN"/>
        </w:rPr>
        <w:t>“</w:t>
      </w:r>
      <w:r>
        <w:rPr>
          <w:rFonts w:ascii="宋体" w:hAnsi="宋体" w:hint="eastAsia"/>
          <w:kern w:val="0"/>
          <w:sz w:val="21"/>
          <w:szCs w:val="21"/>
          <w:lang w:val="zh-CN"/>
        </w:rPr>
        <w:t>重点突破、稳中求进</w:t>
      </w:r>
      <w:r>
        <w:rPr>
          <w:rFonts w:eastAsia="Times New Roman" w:cs="Times New Roman"/>
          <w:kern w:val="0"/>
          <w:sz w:val="21"/>
          <w:szCs w:val="21"/>
          <w:lang w:val="zh-CN"/>
        </w:rPr>
        <w:t>”</w:t>
      </w:r>
      <w:r>
        <w:rPr>
          <w:rFonts w:ascii="宋体" w:hAnsi="宋体" w:hint="eastAsia"/>
          <w:kern w:val="0"/>
          <w:sz w:val="21"/>
          <w:szCs w:val="21"/>
          <w:lang w:val="zh-CN"/>
        </w:rPr>
        <w:t>积极开展相关经营工作，经营效益与效率稳步提升，海洋业务市场需求明确，业务布局取得阶段性成果：按节点交付了</w:t>
      </w:r>
      <w:r>
        <w:rPr>
          <w:rFonts w:eastAsia="Times New Roman" w:cs="Times New Roman"/>
          <w:kern w:val="0"/>
          <w:sz w:val="21"/>
          <w:szCs w:val="21"/>
          <w:lang w:val="zh-CN"/>
        </w:rPr>
        <w:t>“</w:t>
      </w:r>
      <w:r>
        <w:rPr>
          <w:rFonts w:ascii="宋体" w:hAnsi="宋体" w:hint="eastAsia"/>
          <w:kern w:val="0"/>
          <w:sz w:val="21"/>
          <w:szCs w:val="21"/>
          <w:lang w:val="zh-CN"/>
        </w:rPr>
        <w:t>国家智能船舶</w:t>
      </w:r>
      <w:r>
        <w:rPr>
          <w:rFonts w:eastAsia="Times New Roman" w:cs="Times New Roman"/>
          <w:kern w:val="0"/>
          <w:sz w:val="21"/>
          <w:szCs w:val="21"/>
          <w:lang w:val="zh-CN"/>
        </w:rPr>
        <w:t>1.0</w:t>
      </w:r>
      <w:r>
        <w:rPr>
          <w:rFonts w:ascii="宋体" w:hAnsi="宋体" w:hint="eastAsia"/>
          <w:kern w:val="0"/>
          <w:sz w:val="21"/>
          <w:szCs w:val="21"/>
          <w:lang w:val="zh-CN"/>
        </w:rPr>
        <w:t>研发专项</w:t>
      </w:r>
      <w:r>
        <w:rPr>
          <w:rFonts w:eastAsia="Times New Roman" w:cs="Times New Roman"/>
          <w:kern w:val="0"/>
          <w:sz w:val="21"/>
          <w:szCs w:val="21"/>
          <w:lang w:val="zh-CN"/>
        </w:rPr>
        <w:t>”</w:t>
      </w:r>
      <w:r>
        <w:rPr>
          <w:rFonts w:ascii="宋体" w:hAnsi="宋体" w:hint="eastAsia"/>
          <w:kern w:val="0"/>
          <w:sz w:val="21"/>
          <w:szCs w:val="21"/>
          <w:lang w:val="zh-CN"/>
        </w:rPr>
        <w:t>的智能航行系统，并逐步得到行业的认可；参与建设的中国近海雷达网岸基站点布局基本定型，承接并圆满完成国家重大安防保障专项活动；中标海洋调查项目，在海洋环境保障建设领域形成市场突破；新业务布局加快速度，投资设立船舶服务公司，探索气象业务创新合作模式等等。报告期内，研发投入</w:t>
      </w:r>
      <w:r>
        <w:rPr>
          <w:rFonts w:eastAsia="Times New Roman" w:cs="Times New Roman"/>
          <w:kern w:val="0"/>
          <w:sz w:val="21"/>
          <w:szCs w:val="21"/>
          <w:lang w:val="zh-CN"/>
        </w:rPr>
        <w:t>2,675</w:t>
      </w:r>
      <w:r>
        <w:rPr>
          <w:rFonts w:ascii="宋体" w:hAnsi="宋体" w:hint="eastAsia"/>
          <w:kern w:val="0"/>
          <w:sz w:val="21"/>
          <w:szCs w:val="21"/>
          <w:lang w:val="zh-CN"/>
        </w:rPr>
        <w:t>万元，同比增长</w:t>
      </w:r>
      <w:r>
        <w:rPr>
          <w:rFonts w:eastAsia="Times New Roman" w:cs="Times New Roman"/>
          <w:kern w:val="0"/>
          <w:sz w:val="21"/>
          <w:szCs w:val="21"/>
          <w:lang w:val="zh-CN"/>
        </w:rPr>
        <w:t>6.93%</w:t>
      </w:r>
      <w:r>
        <w:rPr>
          <w:rFonts w:ascii="宋体" w:hAnsi="宋体" w:hint="eastAsia"/>
          <w:kern w:val="0"/>
          <w:sz w:val="21"/>
          <w:szCs w:val="21"/>
          <w:lang w:val="zh-CN"/>
        </w:rPr>
        <w:t>，占营业收入的</w:t>
      </w:r>
      <w:r>
        <w:rPr>
          <w:rFonts w:eastAsia="Times New Roman" w:cs="Times New Roman"/>
          <w:kern w:val="0"/>
          <w:sz w:val="21"/>
          <w:szCs w:val="21"/>
          <w:lang w:val="zh-CN"/>
        </w:rPr>
        <w:t>8.40%</w:t>
      </w:r>
      <w:r>
        <w:rPr>
          <w:rFonts w:ascii="宋体" w:hAnsi="宋体" w:hint="eastAsia"/>
          <w:kern w:val="0"/>
          <w:sz w:val="21"/>
          <w:szCs w:val="21"/>
          <w:lang w:val="zh-CN"/>
        </w:rPr>
        <w:t>，比去年同期增长</w:t>
      </w:r>
      <w:r>
        <w:rPr>
          <w:rFonts w:eastAsia="Times New Roman" w:cs="Times New Roman"/>
          <w:kern w:val="0"/>
          <w:sz w:val="21"/>
          <w:szCs w:val="21"/>
          <w:lang w:val="zh-CN"/>
        </w:rPr>
        <w:t>0.55</w:t>
      </w:r>
      <w:r>
        <w:rPr>
          <w:rFonts w:ascii="宋体" w:hAnsi="宋体" w:hint="eastAsia"/>
          <w:kern w:val="0"/>
          <w:sz w:val="21"/>
          <w:szCs w:val="21"/>
          <w:lang w:val="zh-CN"/>
        </w:rPr>
        <w:t>个百分点。新增软件著作权</w:t>
      </w:r>
      <w:r>
        <w:rPr>
          <w:rFonts w:eastAsia="Times New Roman" w:cs="Times New Roman"/>
          <w:kern w:val="0"/>
          <w:sz w:val="21"/>
          <w:szCs w:val="21"/>
          <w:lang w:val="zh-CN"/>
        </w:rPr>
        <w:t>11</w:t>
      </w:r>
      <w:r>
        <w:rPr>
          <w:rFonts w:ascii="宋体" w:hAnsi="宋体" w:hint="eastAsia"/>
          <w:kern w:val="0"/>
          <w:sz w:val="21"/>
          <w:szCs w:val="21"/>
          <w:lang w:val="zh-CN"/>
        </w:rPr>
        <w:t>项，新增国际权威船级社德国</w:t>
      </w:r>
      <w:r>
        <w:rPr>
          <w:rFonts w:eastAsia="Times New Roman" w:cs="Times New Roman"/>
          <w:kern w:val="0"/>
          <w:sz w:val="21"/>
          <w:szCs w:val="21"/>
          <w:lang w:val="zh-CN"/>
        </w:rPr>
        <w:t>GL</w:t>
      </w:r>
      <w:r>
        <w:rPr>
          <w:rFonts w:ascii="宋体" w:hAnsi="宋体" w:hint="eastAsia"/>
          <w:kern w:val="0"/>
          <w:sz w:val="21"/>
          <w:szCs w:val="21"/>
          <w:lang w:val="zh-CN"/>
        </w:rPr>
        <w:t>与俄罗斯</w:t>
      </w:r>
      <w:r>
        <w:rPr>
          <w:rFonts w:eastAsia="Times New Roman" w:cs="Times New Roman"/>
          <w:kern w:val="0"/>
          <w:sz w:val="21"/>
          <w:szCs w:val="21"/>
          <w:lang w:val="zh-CN"/>
        </w:rPr>
        <w:t>RS</w:t>
      </w:r>
      <w:r>
        <w:rPr>
          <w:rFonts w:ascii="宋体" w:hAnsi="宋体" w:hint="eastAsia"/>
          <w:kern w:val="0"/>
          <w:sz w:val="21"/>
          <w:szCs w:val="21"/>
          <w:lang w:val="zh-CN"/>
        </w:rPr>
        <w:t>以及中国</w:t>
      </w:r>
      <w:r>
        <w:rPr>
          <w:rFonts w:eastAsia="Times New Roman" w:cs="Times New Roman"/>
          <w:kern w:val="0"/>
          <w:sz w:val="21"/>
          <w:szCs w:val="21"/>
          <w:lang w:val="zh-CN"/>
        </w:rPr>
        <w:t>CCS</w:t>
      </w:r>
      <w:r>
        <w:rPr>
          <w:rFonts w:ascii="宋体" w:hAnsi="宋体" w:hint="eastAsia"/>
          <w:kern w:val="0"/>
          <w:sz w:val="21"/>
          <w:szCs w:val="21"/>
          <w:lang w:val="zh-CN"/>
        </w:rPr>
        <w:t>共计</w:t>
      </w:r>
      <w:r>
        <w:rPr>
          <w:rFonts w:eastAsia="Times New Roman" w:cs="Times New Roman"/>
          <w:kern w:val="0"/>
          <w:sz w:val="21"/>
          <w:szCs w:val="21"/>
          <w:lang w:val="zh-CN"/>
        </w:rPr>
        <w:t>3</w:t>
      </w:r>
      <w:r>
        <w:rPr>
          <w:rFonts w:ascii="宋体" w:hAnsi="宋体" w:hint="eastAsia"/>
          <w:kern w:val="0"/>
          <w:sz w:val="21"/>
          <w:szCs w:val="21"/>
          <w:lang w:val="zh-CN"/>
        </w:rPr>
        <w:t>项认证。</w:t>
      </w:r>
    </w:p>
    <w:p w:rsidR="00A9288A" w:rsidRDefault="007A4434">
      <w:pPr>
        <w:autoSpaceDE w:val="0"/>
        <w:autoSpaceDN w:val="0"/>
        <w:adjustRightInd w:val="0"/>
        <w:spacing w:before="0" w:after="0"/>
        <w:ind w:firstLine="420"/>
        <w:jc w:val="left"/>
        <w:rPr>
          <w:rFonts w:eastAsia="Times New Roman" w:cs="Times New Roman"/>
          <w:kern w:val="0"/>
          <w:sz w:val="21"/>
          <w:szCs w:val="21"/>
          <w:lang w:val="zh-CN"/>
        </w:rPr>
      </w:pPr>
      <w:r>
        <w:rPr>
          <w:rFonts w:eastAsia="Times New Roman" w:cs="Times New Roman"/>
          <w:kern w:val="0"/>
          <w:sz w:val="21"/>
          <w:szCs w:val="21"/>
          <w:lang w:val="zh-CN"/>
        </w:rPr>
        <w:t>2018</w:t>
      </w:r>
      <w:r>
        <w:rPr>
          <w:rFonts w:ascii="宋体" w:hAnsi="宋体" w:hint="eastAsia"/>
          <w:kern w:val="0"/>
          <w:sz w:val="21"/>
          <w:szCs w:val="21"/>
          <w:lang w:val="zh-CN"/>
        </w:rPr>
        <w:t>上半年公司实现营业收入</w:t>
      </w:r>
      <w:r>
        <w:rPr>
          <w:rFonts w:ascii="宋体" w:hAnsi="宋体"/>
          <w:kern w:val="0"/>
          <w:sz w:val="21"/>
          <w:szCs w:val="21"/>
          <w:lang w:val="zh-CN"/>
        </w:rPr>
        <w:t>318,531,866.77</w:t>
      </w:r>
      <w:r>
        <w:rPr>
          <w:rFonts w:ascii="宋体" w:hAnsi="宋体" w:hint="eastAsia"/>
          <w:kern w:val="0"/>
          <w:sz w:val="21"/>
          <w:szCs w:val="21"/>
          <w:lang w:val="zh-CN"/>
        </w:rPr>
        <w:t>元，与去年同期基本持平；实现营业利润</w:t>
      </w:r>
      <w:r>
        <w:rPr>
          <w:rFonts w:eastAsia="Times New Roman" w:cs="Times New Roman"/>
          <w:kern w:val="0"/>
          <w:sz w:val="21"/>
          <w:szCs w:val="21"/>
          <w:lang w:val="zh-CN"/>
        </w:rPr>
        <w:t>82,545,310.68</w:t>
      </w:r>
      <w:r>
        <w:rPr>
          <w:rFonts w:ascii="宋体" w:hAnsi="宋体" w:hint="eastAsia"/>
          <w:kern w:val="0"/>
          <w:sz w:val="21"/>
          <w:szCs w:val="21"/>
          <w:lang w:val="zh-CN"/>
        </w:rPr>
        <w:t>元，比去年同期增长</w:t>
      </w:r>
      <w:r>
        <w:rPr>
          <w:rFonts w:eastAsia="Times New Roman" w:cs="Times New Roman"/>
          <w:kern w:val="0"/>
          <w:sz w:val="21"/>
          <w:szCs w:val="21"/>
          <w:lang w:val="zh-CN"/>
        </w:rPr>
        <w:t>24.78%</w:t>
      </w:r>
      <w:r>
        <w:rPr>
          <w:rFonts w:ascii="宋体" w:hAnsi="宋体" w:hint="eastAsia"/>
          <w:kern w:val="0"/>
          <w:sz w:val="21"/>
          <w:szCs w:val="21"/>
          <w:lang w:val="zh-CN"/>
        </w:rPr>
        <w:t>；归属于上市公司股东的净利润为</w:t>
      </w:r>
      <w:r>
        <w:rPr>
          <w:rFonts w:eastAsia="Times New Roman" w:cs="Times New Roman"/>
          <w:kern w:val="0"/>
          <w:sz w:val="21"/>
          <w:szCs w:val="21"/>
          <w:lang w:val="zh-CN"/>
        </w:rPr>
        <w:t>59,531,272.15</w:t>
      </w:r>
      <w:r>
        <w:rPr>
          <w:rFonts w:ascii="宋体" w:hAnsi="宋体" w:hint="eastAsia"/>
          <w:kern w:val="0"/>
          <w:sz w:val="21"/>
          <w:szCs w:val="21"/>
          <w:lang w:val="zh-CN"/>
        </w:rPr>
        <w:t>元，比去年同期增长</w:t>
      </w:r>
      <w:r>
        <w:rPr>
          <w:rFonts w:eastAsia="Times New Roman" w:cs="Times New Roman"/>
          <w:kern w:val="0"/>
          <w:sz w:val="21"/>
          <w:szCs w:val="21"/>
          <w:lang w:val="zh-CN"/>
        </w:rPr>
        <w:t>23.50%</w:t>
      </w:r>
      <w:r>
        <w:rPr>
          <w:rFonts w:ascii="宋体" w:hAnsi="宋体" w:hint="eastAsia"/>
          <w:kern w:val="0"/>
          <w:sz w:val="21"/>
          <w:szCs w:val="21"/>
          <w:lang w:val="zh-CN"/>
        </w:rPr>
        <w:t>；基本每股收益为</w:t>
      </w:r>
      <w:r>
        <w:rPr>
          <w:rFonts w:eastAsia="Times New Roman" w:cs="Times New Roman"/>
          <w:kern w:val="0"/>
          <w:sz w:val="21"/>
          <w:szCs w:val="21"/>
          <w:lang w:val="zh-CN"/>
        </w:rPr>
        <w:t>0.1645</w:t>
      </w:r>
      <w:r>
        <w:rPr>
          <w:rFonts w:ascii="宋体" w:hAnsi="宋体" w:hint="eastAsia"/>
          <w:kern w:val="0"/>
          <w:sz w:val="21"/>
          <w:szCs w:val="21"/>
          <w:lang w:val="zh-CN"/>
        </w:rPr>
        <w:t>元，比去年同期增长</w:t>
      </w:r>
      <w:r>
        <w:rPr>
          <w:rFonts w:eastAsia="Times New Roman" w:cs="Times New Roman"/>
          <w:kern w:val="0"/>
          <w:sz w:val="21"/>
          <w:szCs w:val="21"/>
          <w:lang w:val="zh-CN"/>
        </w:rPr>
        <w:t>23.68%</w:t>
      </w:r>
      <w:r>
        <w:rPr>
          <w:rFonts w:ascii="宋体" w:hAnsi="宋体" w:hint="eastAsia"/>
          <w:kern w:val="0"/>
          <w:sz w:val="21"/>
          <w:szCs w:val="21"/>
          <w:lang w:val="zh-CN"/>
        </w:rPr>
        <w:t>。</w:t>
      </w:r>
    </w:p>
    <w:p w:rsidR="00A9288A" w:rsidRDefault="007A4434">
      <w:pPr>
        <w:autoSpaceDE w:val="0"/>
        <w:autoSpaceDN w:val="0"/>
        <w:adjustRightInd w:val="0"/>
        <w:spacing w:before="0" w:after="0"/>
        <w:ind w:firstLine="420"/>
        <w:jc w:val="left"/>
        <w:rPr>
          <w:rFonts w:eastAsia="Times New Roman" w:cs="Times New Roman"/>
          <w:kern w:val="0"/>
          <w:sz w:val="21"/>
          <w:szCs w:val="21"/>
          <w:lang w:val="zh-CN"/>
        </w:rPr>
      </w:pPr>
      <w:r>
        <w:rPr>
          <w:rFonts w:ascii="宋体" w:hAnsi="宋体" w:hint="eastAsia"/>
          <w:kern w:val="0"/>
          <w:sz w:val="21"/>
          <w:szCs w:val="21"/>
          <w:lang w:val="zh-CN"/>
        </w:rPr>
        <w:t>其中，航海智能化领域收入为</w:t>
      </w:r>
      <w:r>
        <w:rPr>
          <w:rFonts w:eastAsia="Times New Roman" w:cs="Times New Roman"/>
          <w:kern w:val="0"/>
          <w:sz w:val="21"/>
          <w:szCs w:val="21"/>
          <w:lang w:val="zh-CN"/>
        </w:rPr>
        <w:t>126,604,295.46</w:t>
      </w:r>
      <w:r>
        <w:rPr>
          <w:rFonts w:ascii="宋体" w:hAnsi="宋体" w:hint="eastAsia"/>
          <w:kern w:val="0"/>
          <w:sz w:val="21"/>
          <w:szCs w:val="21"/>
          <w:lang w:val="zh-CN"/>
        </w:rPr>
        <w:t>元，比去年同期增长</w:t>
      </w:r>
      <w:r>
        <w:rPr>
          <w:rFonts w:eastAsia="Times New Roman" w:cs="Times New Roman"/>
          <w:kern w:val="0"/>
          <w:sz w:val="21"/>
          <w:szCs w:val="21"/>
          <w:lang w:val="zh-CN"/>
        </w:rPr>
        <w:t>58.53%</w:t>
      </w:r>
      <w:r>
        <w:rPr>
          <w:rFonts w:ascii="宋体" w:hAnsi="宋体" w:hint="eastAsia"/>
          <w:kern w:val="0"/>
          <w:sz w:val="21"/>
          <w:szCs w:val="21"/>
          <w:lang w:val="zh-CN"/>
        </w:rPr>
        <w:t>，毛利率为</w:t>
      </w:r>
      <w:r>
        <w:rPr>
          <w:rFonts w:eastAsia="Times New Roman" w:cs="Times New Roman"/>
          <w:kern w:val="0"/>
          <w:sz w:val="21"/>
          <w:szCs w:val="21"/>
          <w:lang w:val="zh-CN"/>
        </w:rPr>
        <w:t>32.09%</w:t>
      </w:r>
      <w:r>
        <w:rPr>
          <w:rFonts w:ascii="宋体" w:hAnsi="宋体" w:hint="eastAsia"/>
          <w:kern w:val="0"/>
          <w:sz w:val="21"/>
          <w:szCs w:val="21"/>
          <w:lang w:val="zh-CN"/>
        </w:rPr>
        <w:t>，比去年同期有所下降；海洋观监测领域收入</w:t>
      </w:r>
      <w:r>
        <w:rPr>
          <w:rFonts w:eastAsia="Times New Roman" w:cs="Times New Roman"/>
          <w:kern w:val="0"/>
          <w:sz w:val="21"/>
          <w:szCs w:val="21"/>
          <w:lang w:val="zh-CN"/>
        </w:rPr>
        <w:t>184,511,179.71</w:t>
      </w:r>
      <w:r>
        <w:rPr>
          <w:rFonts w:ascii="宋体" w:hAnsi="宋体" w:hint="eastAsia"/>
          <w:kern w:val="0"/>
          <w:sz w:val="21"/>
          <w:szCs w:val="21"/>
          <w:lang w:val="zh-CN"/>
        </w:rPr>
        <w:t>元，受益于小目标雷达的规模应用，毛利率为</w:t>
      </w:r>
      <w:r>
        <w:rPr>
          <w:rFonts w:eastAsia="Times New Roman" w:cs="Times New Roman"/>
          <w:kern w:val="0"/>
          <w:sz w:val="21"/>
          <w:szCs w:val="21"/>
          <w:lang w:val="zh-CN"/>
        </w:rPr>
        <w:t>46.04%</w:t>
      </w:r>
      <w:r>
        <w:rPr>
          <w:rFonts w:ascii="宋体" w:hAnsi="宋体" w:hint="eastAsia"/>
          <w:kern w:val="0"/>
          <w:sz w:val="21"/>
          <w:szCs w:val="21"/>
          <w:lang w:val="zh-CN"/>
        </w:rPr>
        <w:t>，比去年同期略有增长。</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具体经营成果如下：</w:t>
      </w:r>
    </w:p>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eastAsia="Times New Roman" w:cs="Times New Roman"/>
          <w:b/>
          <w:bCs/>
          <w:kern w:val="0"/>
          <w:sz w:val="21"/>
          <w:szCs w:val="21"/>
          <w:lang w:val="zh-CN"/>
        </w:rPr>
        <w:t>1</w:t>
      </w:r>
      <w:r>
        <w:rPr>
          <w:rFonts w:ascii="宋体" w:hAnsi="宋体" w:hint="eastAsia"/>
          <w:b/>
          <w:bCs/>
          <w:kern w:val="0"/>
          <w:sz w:val="21"/>
          <w:szCs w:val="21"/>
          <w:lang w:val="zh-CN"/>
        </w:rPr>
        <w:t>、智能航海领域：行业回暖，</w:t>
      </w:r>
      <w:r>
        <w:rPr>
          <w:rFonts w:eastAsia="Times New Roman" w:cs="Times New Roman"/>
          <w:b/>
          <w:bCs/>
          <w:kern w:val="0"/>
          <w:sz w:val="21"/>
          <w:szCs w:val="21"/>
          <w:lang w:val="zh-CN"/>
        </w:rPr>
        <w:t>“</w:t>
      </w:r>
      <w:r>
        <w:rPr>
          <w:rFonts w:ascii="宋体" w:hAnsi="宋体" w:hint="eastAsia"/>
          <w:b/>
          <w:bCs/>
          <w:kern w:val="0"/>
          <w:sz w:val="21"/>
          <w:szCs w:val="21"/>
          <w:lang w:val="zh-CN"/>
        </w:rPr>
        <w:t>智能技术</w:t>
      </w:r>
      <w:r>
        <w:rPr>
          <w:rFonts w:eastAsia="Times New Roman" w:cs="Times New Roman"/>
          <w:b/>
          <w:bCs/>
          <w:kern w:val="0"/>
          <w:sz w:val="21"/>
          <w:szCs w:val="21"/>
          <w:lang w:val="zh-CN"/>
        </w:rPr>
        <w:t>”</w:t>
      </w:r>
      <w:r>
        <w:rPr>
          <w:rFonts w:ascii="宋体" w:hAnsi="宋体" w:hint="eastAsia"/>
          <w:b/>
          <w:bCs/>
          <w:kern w:val="0"/>
          <w:sz w:val="21"/>
          <w:szCs w:val="21"/>
          <w:lang w:val="zh-CN"/>
        </w:rPr>
        <w:t>引发新的市场动能</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eastAsia="Times New Roman" w:cs="Times New Roman"/>
          <w:kern w:val="0"/>
          <w:sz w:val="21"/>
          <w:szCs w:val="21"/>
          <w:lang w:val="zh-CN"/>
        </w:rPr>
        <w:t>2018</w:t>
      </w:r>
      <w:r>
        <w:rPr>
          <w:rFonts w:ascii="宋体" w:hAnsi="宋体" w:hint="eastAsia"/>
          <w:kern w:val="0"/>
          <w:sz w:val="21"/>
          <w:szCs w:val="21"/>
          <w:lang w:val="zh-CN"/>
        </w:rPr>
        <w:t>年</w:t>
      </w:r>
      <w:r>
        <w:rPr>
          <w:rFonts w:eastAsia="Times New Roman" w:cs="Times New Roman"/>
          <w:kern w:val="0"/>
          <w:sz w:val="21"/>
          <w:szCs w:val="21"/>
          <w:lang w:val="zh-CN"/>
        </w:rPr>
        <w:t>6</w:t>
      </w:r>
      <w:r>
        <w:rPr>
          <w:rFonts w:ascii="宋体" w:hAnsi="宋体" w:hint="eastAsia"/>
          <w:kern w:val="0"/>
          <w:sz w:val="21"/>
          <w:szCs w:val="21"/>
          <w:lang w:val="zh-CN"/>
        </w:rPr>
        <w:t>月，克拉克森新船价格指数为</w:t>
      </w:r>
      <w:r>
        <w:rPr>
          <w:rFonts w:eastAsia="Times New Roman" w:cs="Times New Roman"/>
          <w:kern w:val="0"/>
          <w:sz w:val="21"/>
          <w:szCs w:val="21"/>
          <w:lang w:val="zh-CN"/>
        </w:rPr>
        <w:t>128</w:t>
      </w:r>
      <w:r>
        <w:rPr>
          <w:rFonts w:ascii="宋体" w:hAnsi="宋体" w:hint="eastAsia"/>
          <w:kern w:val="0"/>
          <w:sz w:val="21"/>
          <w:szCs w:val="21"/>
          <w:lang w:val="zh-CN"/>
        </w:rPr>
        <w:t>点，同比上升</w:t>
      </w:r>
      <w:r>
        <w:rPr>
          <w:rFonts w:eastAsia="Times New Roman" w:cs="Times New Roman"/>
          <w:kern w:val="0"/>
          <w:sz w:val="21"/>
          <w:szCs w:val="21"/>
          <w:lang w:val="zh-CN"/>
        </w:rPr>
        <w:t>4.2%</w:t>
      </w:r>
      <w:r>
        <w:rPr>
          <w:rFonts w:ascii="宋体" w:hAnsi="宋体" w:hint="eastAsia"/>
          <w:kern w:val="0"/>
          <w:sz w:val="21"/>
          <w:szCs w:val="21"/>
          <w:lang w:val="zh-CN"/>
        </w:rPr>
        <w:t>，新船价格连续</w:t>
      </w:r>
      <w:r>
        <w:rPr>
          <w:rFonts w:eastAsia="Times New Roman" w:cs="Times New Roman"/>
          <w:kern w:val="0"/>
          <w:sz w:val="21"/>
          <w:szCs w:val="21"/>
          <w:lang w:val="zh-CN"/>
        </w:rPr>
        <w:t>9</w:t>
      </w:r>
      <w:r>
        <w:rPr>
          <w:rFonts w:ascii="宋体" w:hAnsi="宋体" w:hint="eastAsia"/>
          <w:kern w:val="0"/>
          <w:sz w:val="21"/>
          <w:szCs w:val="21"/>
          <w:lang w:val="zh-CN"/>
        </w:rPr>
        <w:t>个月出现同比上涨，新船价格的上涨与航运市场回暖特别是散货船和集装箱船市场行情好转有关。</w:t>
      </w:r>
      <w:r>
        <w:rPr>
          <w:rFonts w:eastAsia="Times New Roman" w:cs="Times New Roman"/>
          <w:kern w:val="0"/>
          <w:sz w:val="21"/>
          <w:szCs w:val="21"/>
          <w:lang w:val="zh-CN"/>
        </w:rPr>
        <w:t>2018</w:t>
      </w:r>
      <w:r>
        <w:rPr>
          <w:rFonts w:ascii="宋体" w:hAnsi="宋体" w:hint="eastAsia"/>
          <w:kern w:val="0"/>
          <w:sz w:val="21"/>
          <w:szCs w:val="21"/>
          <w:lang w:val="zh-CN"/>
        </w:rPr>
        <w:t>年上半年，中国承接新船订单</w:t>
      </w:r>
      <w:r>
        <w:rPr>
          <w:rFonts w:eastAsia="Times New Roman" w:cs="Times New Roman"/>
          <w:kern w:val="0"/>
          <w:sz w:val="21"/>
          <w:szCs w:val="21"/>
          <w:lang w:val="zh-CN"/>
        </w:rPr>
        <w:t>2270</w:t>
      </w:r>
      <w:r>
        <w:rPr>
          <w:rFonts w:ascii="宋体" w:hAnsi="宋体" w:hint="eastAsia"/>
          <w:kern w:val="0"/>
          <w:sz w:val="21"/>
          <w:szCs w:val="21"/>
          <w:lang w:val="zh-CN"/>
        </w:rPr>
        <w:t>万载重吨，同比增长</w:t>
      </w:r>
      <w:r>
        <w:rPr>
          <w:rFonts w:eastAsia="Times New Roman" w:cs="Times New Roman"/>
          <w:kern w:val="0"/>
          <w:sz w:val="21"/>
          <w:szCs w:val="21"/>
          <w:lang w:val="zh-CN"/>
        </w:rPr>
        <w:t>97.2%</w:t>
      </w:r>
      <w:r>
        <w:rPr>
          <w:rFonts w:ascii="宋体" w:hAnsi="宋体" w:hint="eastAsia"/>
          <w:kern w:val="0"/>
          <w:sz w:val="21"/>
          <w:szCs w:val="21"/>
          <w:lang w:val="zh-CN"/>
        </w:rPr>
        <w:t>，手持船舶订单止跌回升；同时，截至目前全球在航营运船</w:t>
      </w:r>
      <w:r>
        <w:rPr>
          <w:rFonts w:eastAsia="Times New Roman" w:cs="Times New Roman"/>
          <w:kern w:val="0"/>
          <w:sz w:val="21"/>
          <w:szCs w:val="21"/>
          <w:lang w:val="zh-CN"/>
        </w:rPr>
        <w:t>9</w:t>
      </w:r>
      <w:r>
        <w:rPr>
          <w:rFonts w:ascii="宋体" w:hAnsi="宋体" w:hint="eastAsia"/>
          <w:kern w:val="0"/>
          <w:sz w:val="21"/>
          <w:szCs w:val="21"/>
          <w:lang w:val="zh-CN"/>
        </w:rPr>
        <w:t>万余艘，面临智能航行技术给船东运营船队带来的更安全、高效与经济效能，营运船市场也将面临新一轮的改造机遇。智能船成为全球行业共识，在国内尤其是央企大型船东对智能船的重视，使公司在智能化方面的积累成为与行业巨头合作的先发优势。</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报告期内，公司拟提高当前在船东市场的业务规模和集中度，为后续智能航行系统在船东市场的改造升级提前做好业务布局，智能航海领域业务收入增长超过</w:t>
      </w:r>
      <w:r>
        <w:rPr>
          <w:rFonts w:eastAsia="Times New Roman" w:cs="Times New Roman"/>
          <w:kern w:val="0"/>
          <w:sz w:val="21"/>
          <w:szCs w:val="21"/>
          <w:lang w:val="zh-CN"/>
        </w:rPr>
        <w:t>58%</w:t>
      </w:r>
      <w:r>
        <w:rPr>
          <w:rFonts w:ascii="宋体" w:hAnsi="宋体" w:hint="eastAsia"/>
          <w:kern w:val="0"/>
          <w:sz w:val="21"/>
          <w:szCs w:val="21"/>
          <w:lang w:val="zh-CN"/>
        </w:rPr>
        <w:t>，鉴于部分产品为船东指定，整体业务领域的毛利率为</w:t>
      </w:r>
      <w:r>
        <w:rPr>
          <w:rFonts w:eastAsia="Times New Roman" w:cs="Times New Roman"/>
          <w:kern w:val="0"/>
          <w:sz w:val="21"/>
          <w:szCs w:val="21"/>
          <w:lang w:val="zh-CN"/>
        </w:rPr>
        <w:t>32.09%</w:t>
      </w:r>
      <w:r>
        <w:rPr>
          <w:rFonts w:ascii="宋体" w:hAnsi="宋体" w:hint="eastAsia"/>
          <w:kern w:val="0"/>
          <w:sz w:val="21"/>
          <w:szCs w:val="21"/>
          <w:lang w:val="zh-CN"/>
        </w:rPr>
        <w:t>；以公司多年战略合作伙伴扬子江船业为首的江苏区域年度内共获得新船订单</w:t>
      </w:r>
      <w:r>
        <w:rPr>
          <w:rFonts w:eastAsia="Times New Roman" w:cs="Times New Roman"/>
          <w:kern w:val="0"/>
          <w:sz w:val="21"/>
          <w:szCs w:val="21"/>
          <w:lang w:val="zh-CN"/>
        </w:rPr>
        <w:t>102</w:t>
      </w:r>
      <w:r>
        <w:rPr>
          <w:rFonts w:ascii="宋体" w:hAnsi="宋体" w:hint="eastAsia"/>
          <w:kern w:val="0"/>
          <w:sz w:val="21"/>
          <w:szCs w:val="21"/>
          <w:lang w:val="zh-CN"/>
        </w:rPr>
        <w:t>艘，占上半年全国订单的</w:t>
      </w:r>
      <w:r>
        <w:rPr>
          <w:rFonts w:eastAsia="Times New Roman" w:cs="Times New Roman"/>
          <w:kern w:val="0"/>
          <w:sz w:val="21"/>
          <w:szCs w:val="21"/>
          <w:lang w:val="zh-CN"/>
        </w:rPr>
        <w:t>56%</w:t>
      </w:r>
      <w:r>
        <w:rPr>
          <w:rFonts w:ascii="宋体" w:hAnsi="宋体" w:hint="eastAsia"/>
          <w:kern w:val="0"/>
          <w:sz w:val="21"/>
          <w:szCs w:val="21"/>
          <w:lang w:val="zh-CN"/>
        </w:rPr>
        <w:t>，今年伊始扬子江船业承诺从</w:t>
      </w:r>
      <w:r>
        <w:rPr>
          <w:rFonts w:eastAsia="Times New Roman" w:cs="Times New Roman"/>
          <w:kern w:val="0"/>
          <w:sz w:val="21"/>
          <w:szCs w:val="21"/>
          <w:lang w:val="zh-CN"/>
        </w:rPr>
        <w:t>2018</w:t>
      </w:r>
      <w:r>
        <w:rPr>
          <w:rFonts w:ascii="宋体" w:hAnsi="宋体" w:hint="eastAsia"/>
          <w:kern w:val="0"/>
          <w:sz w:val="21"/>
          <w:szCs w:val="21"/>
          <w:lang w:val="zh-CN"/>
        </w:rPr>
        <w:t>年起未来三年，在扬子江船业建造的船舶中优先选用海兰信的智能化装备且每年不低于</w:t>
      </w:r>
      <w:r>
        <w:rPr>
          <w:rFonts w:eastAsia="Times New Roman" w:cs="Times New Roman"/>
          <w:kern w:val="0"/>
          <w:sz w:val="21"/>
          <w:szCs w:val="21"/>
          <w:lang w:val="zh-CN"/>
        </w:rPr>
        <w:t>1</w:t>
      </w:r>
      <w:r>
        <w:rPr>
          <w:rFonts w:ascii="宋体" w:hAnsi="宋体" w:hint="eastAsia"/>
          <w:kern w:val="0"/>
          <w:sz w:val="21"/>
          <w:szCs w:val="21"/>
          <w:lang w:val="zh-CN"/>
        </w:rPr>
        <w:t>个亿，报告期内公司与扬子江业务规模比去年同期实现翻番；以</w:t>
      </w:r>
      <w:r>
        <w:rPr>
          <w:rFonts w:eastAsia="Times New Roman" w:cs="Times New Roman"/>
          <w:kern w:val="0"/>
          <w:sz w:val="21"/>
          <w:szCs w:val="21"/>
          <w:lang w:val="zh-CN"/>
        </w:rPr>
        <w:t>INS</w:t>
      </w:r>
      <w:r>
        <w:rPr>
          <w:rFonts w:ascii="宋体" w:hAnsi="宋体" w:hint="eastAsia"/>
          <w:kern w:val="0"/>
          <w:sz w:val="21"/>
          <w:szCs w:val="21"/>
          <w:lang w:val="zh-CN"/>
        </w:rPr>
        <w:t>与智能信息平台为代表的智能航行系统进入主要船厂厂商表，全面覆盖两船集团；公司运用</w:t>
      </w:r>
      <w:r>
        <w:rPr>
          <w:rFonts w:eastAsia="Times New Roman" w:cs="Times New Roman"/>
          <w:kern w:val="0"/>
          <w:sz w:val="21"/>
          <w:szCs w:val="21"/>
          <w:lang w:val="zh-CN"/>
        </w:rPr>
        <w:t>“</w:t>
      </w:r>
      <w:r>
        <w:rPr>
          <w:rFonts w:ascii="宋体" w:hAnsi="宋体" w:hint="eastAsia"/>
          <w:kern w:val="0"/>
          <w:sz w:val="21"/>
          <w:szCs w:val="21"/>
          <w:lang w:val="zh-CN"/>
        </w:rPr>
        <w:t>新造船、营运船市场相互驱动</w:t>
      </w:r>
      <w:r>
        <w:rPr>
          <w:rFonts w:eastAsia="Times New Roman" w:cs="Times New Roman"/>
          <w:kern w:val="0"/>
          <w:sz w:val="21"/>
          <w:szCs w:val="21"/>
          <w:lang w:val="zh-CN"/>
        </w:rPr>
        <w:t>”</w:t>
      </w:r>
      <w:r>
        <w:rPr>
          <w:rFonts w:ascii="宋体" w:hAnsi="宋体" w:hint="eastAsia"/>
          <w:kern w:val="0"/>
          <w:sz w:val="21"/>
          <w:szCs w:val="21"/>
          <w:lang w:val="zh-CN"/>
        </w:rPr>
        <w:t>策略，在新造船领域寻求增量的同时，通过在航的营运船改造项目提升公司智能化产品在船东领域的占有率；下半年重点针对公务船、南北航线、以国内港口为母港的商船新造船船东市场发掘机会，并推动与国内大型航运集团围绕智能船领域形成深度合作，为下半年业绩实现奠定了基础。</w:t>
      </w:r>
    </w:p>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eastAsia="Times New Roman" w:cs="Times New Roman"/>
          <w:b/>
          <w:bCs/>
          <w:kern w:val="0"/>
          <w:sz w:val="21"/>
          <w:szCs w:val="21"/>
          <w:lang w:val="zh-CN"/>
        </w:rPr>
        <w:t>2</w:t>
      </w:r>
      <w:r>
        <w:rPr>
          <w:rFonts w:ascii="宋体" w:hAnsi="宋体" w:hint="eastAsia"/>
          <w:b/>
          <w:bCs/>
          <w:kern w:val="0"/>
          <w:sz w:val="21"/>
          <w:szCs w:val="21"/>
          <w:lang w:val="zh-CN"/>
        </w:rPr>
        <w:t>、智慧海洋领域：市场潜力显现，参建的近海雷达网岸基布局基本成型</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eastAsia="Times New Roman" w:cs="Times New Roman"/>
          <w:kern w:val="0"/>
          <w:sz w:val="21"/>
          <w:szCs w:val="21"/>
          <w:lang w:val="zh-CN"/>
        </w:rPr>
        <w:t>2018</w:t>
      </w:r>
      <w:r>
        <w:rPr>
          <w:rFonts w:ascii="宋体" w:hAnsi="宋体" w:hint="eastAsia"/>
          <w:kern w:val="0"/>
          <w:sz w:val="21"/>
          <w:szCs w:val="21"/>
          <w:lang w:val="zh-CN"/>
        </w:rPr>
        <w:t>年伊始，国家海洋投入进入实质性启动阶段；智慧海洋在地方省市逐步启动，相关论证工作稳步推进，市场潜力开始显现。</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截至</w:t>
      </w:r>
      <w:r>
        <w:rPr>
          <w:rFonts w:eastAsia="Times New Roman" w:cs="Times New Roman"/>
          <w:kern w:val="0"/>
          <w:sz w:val="21"/>
          <w:szCs w:val="21"/>
          <w:lang w:val="zh-CN"/>
        </w:rPr>
        <w:t>2018</w:t>
      </w:r>
      <w:r>
        <w:rPr>
          <w:rFonts w:ascii="宋体" w:hAnsi="宋体" w:hint="eastAsia"/>
          <w:kern w:val="0"/>
          <w:sz w:val="21"/>
          <w:szCs w:val="21"/>
          <w:lang w:val="zh-CN"/>
        </w:rPr>
        <w:t>年</w:t>
      </w:r>
      <w:r>
        <w:rPr>
          <w:rFonts w:eastAsia="Times New Roman" w:cs="Times New Roman"/>
          <w:kern w:val="0"/>
          <w:sz w:val="21"/>
          <w:szCs w:val="21"/>
          <w:lang w:val="zh-CN"/>
        </w:rPr>
        <w:t>7</w:t>
      </w:r>
      <w:r>
        <w:rPr>
          <w:rFonts w:ascii="宋体" w:hAnsi="宋体" w:hint="eastAsia"/>
          <w:kern w:val="0"/>
          <w:sz w:val="21"/>
          <w:szCs w:val="21"/>
          <w:lang w:val="zh-CN"/>
        </w:rPr>
        <w:t>月</w:t>
      </w:r>
      <w:r>
        <w:rPr>
          <w:rFonts w:eastAsia="Times New Roman" w:cs="Times New Roman"/>
          <w:kern w:val="0"/>
          <w:sz w:val="21"/>
          <w:szCs w:val="21"/>
          <w:lang w:val="zh-CN"/>
        </w:rPr>
        <w:t>31</w:t>
      </w:r>
      <w:r>
        <w:rPr>
          <w:rFonts w:ascii="宋体" w:hAnsi="宋体" w:hint="eastAsia"/>
          <w:kern w:val="0"/>
          <w:sz w:val="21"/>
          <w:szCs w:val="21"/>
          <w:lang w:val="zh-CN"/>
        </w:rPr>
        <w:t>日，劳雷产业手持订单近</w:t>
      </w:r>
      <w:r>
        <w:rPr>
          <w:rFonts w:eastAsia="Times New Roman" w:cs="Times New Roman"/>
          <w:kern w:val="0"/>
          <w:sz w:val="21"/>
          <w:szCs w:val="21"/>
          <w:lang w:val="zh-CN"/>
        </w:rPr>
        <w:t>3,</w:t>
      </w:r>
      <w:r>
        <w:rPr>
          <w:rFonts w:cs="Times New Roman"/>
          <w:kern w:val="0"/>
          <w:sz w:val="21"/>
          <w:szCs w:val="21"/>
          <w:lang w:val="zh-CN"/>
        </w:rPr>
        <w:t>000</w:t>
      </w:r>
      <w:r>
        <w:rPr>
          <w:rFonts w:ascii="宋体" w:hAnsi="宋体" w:hint="eastAsia"/>
          <w:kern w:val="0"/>
          <w:sz w:val="21"/>
          <w:szCs w:val="21"/>
          <w:lang w:val="zh-CN"/>
        </w:rPr>
        <w:t>万美元，根据劳雷产业及下属公司与客户沟通、协议谈判及签署进度情况，不考虑新增项目，预估年度内合计新签订单金额不低于</w:t>
      </w:r>
      <w:r>
        <w:rPr>
          <w:rFonts w:eastAsia="Times New Roman" w:cs="Times New Roman"/>
          <w:kern w:val="0"/>
          <w:sz w:val="21"/>
          <w:szCs w:val="21"/>
          <w:lang w:val="zh-CN"/>
        </w:rPr>
        <w:t>6,000</w:t>
      </w:r>
      <w:r>
        <w:rPr>
          <w:rFonts w:ascii="宋体" w:hAnsi="宋体" w:hint="eastAsia"/>
          <w:kern w:val="0"/>
          <w:sz w:val="21"/>
          <w:szCs w:val="21"/>
          <w:lang w:val="zh-CN"/>
        </w:rPr>
        <w:t>万美元。</w:t>
      </w:r>
      <w:r>
        <w:rPr>
          <w:rFonts w:eastAsia="Times New Roman" w:cs="Times New Roman"/>
          <w:kern w:val="0"/>
          <w:sz w:val="21"/>
          <w:szCs w:val="21"/>
          <w:lang w:val="zh-CN"/>
        </w:rPr>
        <w:t>2018</w:t>
      </w:r>
      <w:r>
        <w:rPr>
          <w:rFonts w:ascii="宋体" w:hAnsi="宋体" w:hint="eastAsia"/>
          <w:kern w:val="0"/>
          <w:sz w:val="21"/>
          <w:szCs w:val="21"/>
          <w:lang w:val="zh-CN"/>
        </w:rPr>
        <w:t>年至</w:t>
      </w:r>
      <w:r>
        <w:rPr>
          <w:rFonts w:eastAsia="Times New Roman" w:cs="Times New Roman"/>
          <w:kern w:val="0"/>
          <w:sz w:val="21"/>
          <w:szCs w:val="21"/>
          <w:lang w:val="zh-CN"/>
        </w:rPr>
        <w:t>2020</w:t>
      </w:r>
      <w:r>
        <w:rPr>
          <w:rFonts w:ascii="宋体" w:hAnsi="宋体" w:hint="eastAsia"/>
          <w:kern w:val="0"/>
          <w:sz w:val="21"/>
          <w:szCs w:val="21"/>
          <w:lang w:val="zh-CN"/>
        </w:rPr>
        <w:t>年将是具体政策规划实施落地的重要年份，根据劳雷产业在跟进的项目及国家发布的海底网相关民用领域的百亿投入，</w:t>
      </w:r>
      <w:r>
        <w:rPr>
          <w:rFonts w:eastAsia="Times New Roman" w:cs="Times New Roman"/>
          <w:kern w:val="0"/>
          <w:sz w:val="21"/>
          <w:szCs w:val="21"/>
          <w:lang w:val="zh-CN"/>
        </w:rPr>
        <w:t>2018</w:t>
      </w:r>
      <w:r>
        <w:rPr>
          <w:rFonts w:ascii="宋体" w:hAnsi="宋体" w:hint="eastAsia"/>
          <w:kern w:val="0"/>
          <w:sz w:val="21"/>
          <w:szCs w:val="21"/>
          <w:lang w:val="zh-CN"/>
        </w:rPr>
        <w:t>年至</w:t>
      </w:r>
      <w:r>
        <w:rPr>
          <w:rFonts w:eastAsia="Times New Roman" w:cs="Times New Roman"/>
          <w:kern w:val="0"/>
          <w:sz w:val="21"/>
          <w:szCs w:val="21"/>
          <w:lang w:val="zh-CN"/>
        </w:rPr>
        <w:t>2020</w:t>
      </w:r>
      <w:r>
        <w:rPr>
          <w:rFonts w:ascii="宋体" w:hAnsi="宋体" w:hint="eastAsia"/>
          <w:kern w:val="0"/>
          <w:sz w:val="21"/>
          <w:szCs w:val="21"/>
          <w:lang w:val="zh-CN"/>
        </w:rPr>
        <w:t>年劳雷产业的现有业务将保持稳定增长。报告期内，鉴于劳雷产业现有的海洋调查、探测仪器的主要客户为政府、大学与科研院所，受财政预算和机构改革等影响，上半年业绩未能显</w:t>
      </w:r>
      <w:r>
        <w:rPr>
          <w:rFonts w:ascii="宋体" w:hAnsi="宋体" w:hint="eastAsia"/>
          <w:kern w:val="0"/>
          <w:sz w:val="21"/>
          <w:szCs w:val="21"/>
          <w:lang w:val="zh-CN"/>
        </w:rPr>
        <w:lastRenderedPageBreak/>
        <w:t>著体现；根据目前手持订单与跟踪订单情况综合评估，下半年业绩贡献将明确提升。</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报告期内，集团公司深度参与国家军民融合项目，获得订单机会；海底网设备研发取得突破性进展；中标海洋调查项目，在海洋环境保障建设领域形成市场突破；与青岛太平洋水下科技工程有限公司在青岛共同举办了国内首届常压潜水系统潜水培训及应用技术交流会，该系统的引进在水利水电领域将是一种革命性的突破，大水深、高效率的常压潜水系统具备安全可靠、无需减压、工作时间长等特点，在深水领域开拓了全新的作业方式，对国内潜水行业的发展具有开创性意义，为业主提供了解决问题的新型技术手段，也是未来海底网建设的重要装备之一且国内唯一。海兰信拥有齐全的军工资质和成熟的产品国产化平台，通过与劳雷产业近三年的整合，已经完成了部分探测仪器的国产化开发和改造，具备承接大规模海洋观测设施建设的基础条件，根据国家相关规划，公司目前跟进的海洋调查、海底关键技术与装备项目市场规模</w:t>
      </w:r>
      <w:r>
        <w:rPr>
          <w:rFonts w:eastAsia="Times New Roman" w:cs="Times New Roman"/>
          <w:kern w:val="0"/>
          <w:sz w:val="21"/>
          <w:szCs w:val="21"/>
          <w:lang w:val="zh-CN"/>
        </w:rPr>
        <w:t>40</w:t>
      </w:r>
      <w:r>
        <w:rPr>
          <w:rFonts w:ascii="宋体" w:hAnsi="宋体" w:hint="eastAsia"/>
          <w:kern w:val="0"/>
          <w:sz w:val="21"/>
          <w:szCs w:val="21"/>
          <w:lang w:val="zh-CN"/>
        </w:rPr>
        <w:t>亿左右，实施周期为</w:t>
      </w:r>
      <w:r>
        <w:rPr>
          <w:rFonts w:eastAsia="Times New Roman" w:cs="Times New Roman"/>
          <w:kern w:val="0"/>
          <w:sz w:val="21"/>
          <w:szCs w:val="21"/>
          <w:lang w:val="zh-CN"/>
        </w:rPr>
        <w:t>2018</w:t>
      </w:r>
      <w:r>
        <w:rPr>
          <w:rFonts w:ascii="宋体" w:hAnsi="宋体" w:hint="eastAsia"/>
          <w:kern w:val="0"/>
          <w:sz w:val="21"/>
          <w:szCs w:val="21"/>
          <w:lang w:val="zh-CN"/>
        </w:rPr>
        <w:t>年至</w:t>
      </w:r>
      <w:r>
        <w:rPr>
          <w:rFonts w:eastAsia="Times New Roman" w:cs="Times New Roman"/>
          <w:kern w:val="0"/>
          <w:sz w:val="21"/>
          <w:szCs w:val="21"/>
          <w:lang w:val="zh-CN"/>
        </w:rPr>
        <w:t>2025</w:t>
      </w:r>
      <w:r>
        <w:rPr>
          <w:rFonts w:ascii="宋体" w:hAnsi="宋体" w:hint="eastAsia"/>
          <w:kern w:val="0"/>
          <w:sz w:val="21"/>
          <w:szCs w:val="21"/>
          <w:lang w:val="zh-CN"/>
        </w:rPr>
        <w:t>年。保守预估，在</w:t>
      </w:r>
      <w:r>
        <w:rPr>
          <w:rFonts w:eastAsia="Times New Roman" w:cs="Times New Roman"/>
          <w:kern w:val="0"/>
          <w:sz w:val="21"/>
          <w:szCs w:val="21"/>
          <w:lang w:val="zh-CN"/>
        </w:rPr>
        <w:t>2018</w:t>
      </w:r>
      <w:r>
        <w:rPr>
          <w:rFonts w:ascii="宋体" w:hAnsi="宋体" w:hint="eastAsia"/>
          <w:kern w:val="0"/>
          <w:sz w:val="21"/>
          <w:szCs w:val="21"/>
          <w:lang w:val="zh-CN"/>
        </w:rPr>
        <w:t>年通过海兰信体系的市场渠道开拓，为劳雷业务带来不低于</w:t>
      </w:r>
      <w:r>
        <w:rPr>
          <w:rFonts w:eastAsia="Times New Roman" w:cs="Times New Roman"/>
          <w:kern w:val="0"/>
          <w:sz w:val="21"/>
          <w:szCs w:val="21"/>
          <w:lang w:val="zh-CN"/>
        </w:rPr>
        <w:t>5,000</w:t>
      </w:r>
      <w:r>
        <w:rPr>
          <w:rFonts w:ascii="宋体" w:hAnsi="宋体" w:hint="eastAsia"/>
          <w:kern w:val="0"/>
          <w:sz w:val="21"/>
          <w:szCs w:val="21"/>
          <w:lang w:val="zh-CN"/>
        </w:rPr>
        <w:t>万元增量订单；</w:t>
      </w:r>
      <w:r>
        <w:rPr>
          <w:rFonts w:eastAsia="Times New Roman" w:cs="Times New Roman"/>
          <w:kern w:val="0"/>
          <w:sz w:val="21"/>
          <w:szCs w:val="21"/>
          <w:lang w:val="zh-CN"/>
        </w:rPr>
        <w:t>2019</w:t>
      </w:r>
      <w:r>
        <w:rPr>
          <w:rFonts w:ascii="宋体" w:hAnsi="宋体" w:hint="eastAsia"/>
          <w:kern w:val="0"/>
          <w:sz w:val="21"/>
          <w:szCs w:val="21"/>
          <w:lang w:val="zh-CN"/>
        </w:rPr>
        <w:t>年与</w:t>
      </w:r>
      <w:r>
        <w:rPr>
          <w:rFonts w:eastAsia="Times New Roman" w:cs="Times New Roman"/>
          <w:kern w:val="0"/>
          <w:sz w:val="21"/>
          <w:szCs w:val="21"/>
          <w:lang w:val="zh-CN"/>
        </w:rPr>
        <w:t>2020</w:t>
      </w:r>
      <w:r>
        <w:rPr>
          <w:rFonts w:ascii="宋体" w:hAnsi="宋体" w:hint="eastAsia"/>
          <w:kern w:val="0"/>
          <w:sz w:val="21"/>
          <w:szCs w:val="21"/>
          <w:lang w:val="zh-CN"/>
        </w:rPr>
        <w:t>年将在海洋水文、海底地质、海洋气象、目标探测、座底原位观测建设等方面带来不低于</w:t>
      </w:r>
      <w:r>
        <w:rPr>
          <w:rFonts w:eastAsia="Times New Roman" w:cs="Times New Roman"/>
          <w:kern w:val="0"/>
          <w:sz w:val="21"/>
          <w:szCs w:val="21"/>
          <w:lang w:val="zh-CN"/>
        </w:rPr>
        <w:t>2</w:t>
      </w:r>
      <w:r>
        <w:rPr>
          <w:rFonts w:ascii="宋体" w:hAnsi="宋体" w:hint="eastAsia"/>
          <w:kern w:val="0"/>
          <w:sz w:val="21"/>
          <w:szCs w:val="21"/>
          <w:lang w:val="zh-CN"/>
        </w:rPr>
        <w:t>亿元的增量订单。</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报告期内，基于极小目标探测雷达技术为核心的智能雷达综合观监测系统全国布局稳步推动，实现中国近海岸基主要区域的监测覆盖；下半年将重点打造基于海油平台、海洋牧场、长江流域、风电场等应用场景中的雷达监测示范工程。技术层面，完成整合新型雷达、光电、传感器到雷达监控系统的应用，实现风电场、港口、长江、狭窄水道监控等不同应用场景的技术解决方案；实现不同目标传感器与小目标雷达的融合；完成雷达监测系统的信息安全建设方案，保证数据从省中心到国家中心的信息安全。公司作为设备提供商参与建设的近海雷达网承接了多个国家级重大活动的安防保障，包括上合青岛峰会</w:t>
      </w:r>
      <w:r>
        <w:rPr>
          <w:rFonts w:eastAsia="Times New Roman" w:cs="Times New Roman"/>
          <w:kern w:val="0"/>
          <w:sz w:val="21"/>
          <w:szCs w:val="21"/>
          <w:lang w:val="zh-CN"/>
        </w:rPr>
        <w:t>“</w:t>
      </w:r>
      <w:r>
        <w:rPr>
          <w:rFonts w:ascii="宋体" w:hAnsi="宋体" w:hint="eastAsia"/>
          <w:kern w:val="0"/>
          <w:sz w:val="21"/>
          <w:szCs w:val="21"/>
          <w:lang w:val="zh-CN"/>
        </w:rPr>
        <w:t>核心区海面安防监控任务</w:t>
      </w:r>
      <w:r>
        <w:rPr>
          <w:rFonts w:eastAsia="Times New Roman" w:cs="Times New Roman"/>
          <w:kern w:val="0"/>
          <w:sz w:val="21"/>
          <w:szCs w:val="21"/>
          <w:lang w:val="zh-CN"/>
        </w:rPr>
        <w:t>”</w:t>
      </w:r>
      <w:r>
        <w:rPr>
          <w:rFonts w:ascii="宋体" w:hAnsi="宋体" w:hint="eastAsia"/>
          <w:kern w:val="0"/>
          <w:sz w:val="21"/>
          <w:szCs w:val="21"/>
          <w:lang w:val="zh-CN"/>
        </w:rPr>
        <w:t>、海南博鳌论坛</w:t>
      </w:r>
      <w:r>
        <w:rPr>
          <w:rFonts w:eastAsia="Times New Roman" w:cs="Times New Roman"/>
          <w:kern w:val="0"/>
          <w:sz w:val="21"/>
          <w:szCs w:val="21"/>
          <w:lang w:val="zh-CN"/>
        </w:rPr>
        <w:t>“</w:t>
      </w:r>
      <w:r>
        <w:rPr>
          <w:rFonts w:ascii="宋体" w:hAnsi="宋体" w:hint="eastAsia"/>
          <w:kern w:val="0"/>
          <w:sz w:val="21"/>
          <w:szCs w:val="21"/>
          <w:lang w:val="zh-CN"/>
        </w:rPr>
        <w:t>边防安防保障执行任务</w:t>
      </w:r>
      <w:r>
        <w:rPr>
          <w:rFonts w:eastAsia="Times New Roman" w:cs="Times New Roman"/>
          <w:kern w:val="0"/>
          <w:sz w:val="21"/>
          <w:szCs w:val="21"/>
          <w:lang w:val="zh-CN"/>
        </w:rPr>
        <w:t>”</w:t>
      </w:r>
      <w:r>
        <w:rPr>
          <w:rFonts w:ascii="宋体" w:hAnsi="宋体" w:hint="eastAsia"/>
          <w:kern w:val="0"/>
          <w:sz w:val="21"/>
          <w:szCs w:val="21"/>
          <w:lang w:val="zh-CN"/>
        </w:rPr>
        <w:t>和首届数字中国建设峰会等，行业品牌声誉得到快速提升，目前在多个领域进行行业推广应用，主要客户包括海事、渔政、海防、海关等涉海单位，国家部委中国海警局已经启动试用雷达数据服务，效果良好，为后期在自然资源部（原国家海洋局）、农业部等单位推广海洋数据服务购买模式奠定了基础，进而将极大促进公司近海雷达综合观监测系统等海洋观监测产品向全国各涉海管理单位的推广布局。</w:t>
      </w:r>
    </w:p>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eastAsia="Times New Roman" w:cs="Times New Roman"/>
          <w:b/>
          <w:bCs/>
          <w:kern w:val="0"/>
          <w:sz w:val="21"/>
          <w:szCs w:val="21"/>
          <w:lang w:val="zh-CN"/>
        </w:rPr>
        <w:t>3</w:t>
      </w:r>
      <w:r>
        <w:rPr>
          <w:rFonts w:ascii="宋体" w:hAnsi="宋体" w:hint="eastAsia"/>
          <w:b/>
          <w:bCs/>
          <w:kern w:val="0"/>
          <w:sz w:val="21"/>
          <w:szCs w:val="21"/>
          <w:lang w:val="zh-CN"/>
        </w:rPr>
        <w:t>、军警业务领域</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eastAsia="Times New Roman" w:cs="Times New Roman"/>
          <w:kern w:val="0"/>
          <w:sz w:val="21"/>
          <w:szCs w:val="21"/>
          <w:lang w:val="zh-CN"/>
        </w:rPr>
        <w:t>7</w:t>
      </w:r>
      <w:r>
        <w:rPr>
          <w:rFonts w:ascii="宋体" w:hAnsi="宋体" w:hint="eastAsia"/>
          <w:kern w:val="0"/>
          <w:sz w:val="21"/>
          <w:szCs w:val="21"/>
          <w:lang w:val="zh-CN"/>
        </w:rPr>
        <w:t>月</w:t>
      </w:r>
      <w:r>
        <w:rPr>
          <w:rFonts w:eastAsia="Times New Roman" w:cs="Times New Roman"/>
          <w:kern w:val="0"/>
          <w:sz w:val="21"/>
          <w:szCs w:val="21"/>
          <w:lang w:val="zh-CN"/>
        </w:rPr>
        <w:t>1</w:t>
      </w:r>
      <w:r>
        <w:rPr>
          <w:rFonts w:ascii="宋体" w:hAnsi="宋体" w:hint="eastAsia"/>
          <w:kern w:val="0"/>
          <w:sz w:val="21"/>
          <w:szCs w:val="21"/>
          <w:lang w:val="zh-CN"/>
        </w:rPr>
        <w:t>日，中国海警整体划归中国人民武装警察部队指挥，调整组建中国人民武装警察部队海警总队，称中国海警局。转隶武警部队后，海警装备供应体制也将随之发生变化，同时会加速海警舰船和武器装备的建设，统一标准、增加数量，为公司业务规模增长提供了新的机遇。另外，随着海军装备的大强度使用，使得保障维修市场经费加大，市场前景明朗。公司将努力拓展服务保障市场，加强与军内维修保障单位的合作，以海洋传感器保障、导航产品维保修理为突破口，拓展维修保障市场，逐步在东海、南海、北海成立保障中心，贴近客户，做强做大维修保障业务，形成新的利润增长点。</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报告期内，公司坚持</w:t>
      </w:r>
      <w:r>
        <w:rPr>
          <w:rFonts w:eastAsia="Times New Roman" w:cs="Times New Roman"/>
          <w:kern w:val="0"/>
          <w:sz w:val="21"/>
          <w:szCs w:val="21"/>
          <w:lang w:val="zh-CN"/>
        </w:rPr>
        <w:t>“</w:t>
      </w:r>
      <w:r>
        <w:rPr>
          <w:rFonts w:ascii="宋体" w:hAnsi="宋体" w:hint="eastAsia"/>
          <w:kern w:val="0"/>
          <w:sz w:val="21"/>
          <w:szCs w:val="21"/>
          <w:lang w:val="zh-CN"/>
        </w:rPr>
        <w:t>军民深度融合相互驱动</w:t>
      </w:r>
      <w:r>
        <w:rPr>
          <w:rFonts w:eastAsia="Times New Roman" w:cs="Times New Roman"/>
          <w:kern w:val="0"/>
          <w:sz w:val="21"/>
          <w:szCs w:val="21"/>
          <w:lang w:val="zh-CN"/>
        </w:rPr>
        <w:t>”</w:t>
      </w:r>
      <w:r>
        <w:rPr>
          <w:rFonts w:ascii="宋体" w:hAnsi="宋体" w:hint="eastAsia"/>
          <w:kern w:val="0"/>
          <w:sz w:val="21"/>
          <w:szCs w:val="21"/>
          <w:lang w:val="zh-CN"/>
        </w:rPr>
        <w:t>发展战略，深扎根、谋全局、谋未来，高度重视产品质量，严格遵守保密制度：深度参与</w:t>
      </w:r>
      <w:r>
        <w:rPr>
          <w:rFonts w:eastAsia="Times New Roman" w:cs="Times New Roman"/>
          <w:kern w:val="0"/>
          <w:sz w:val="21"/>
          <w:szCs w:val="21"/>
          <w:lang w:val="zh-CN"/>
        </w:rPr>
        <w:t>IBS</w:t>
      </w:r>
      <w:r>
        <w:rPr>
          <w:rFonts w:ascii="宋体" w:hAnsi="宋体" w:hint="eastAsia"/>
          <w:kern w:val="0"/>
          <w:sz w:val="21"/>
          <w:szCs w:val="21"/>
          <w:lang w:val="zh-CN"/>
        </w:rPr>
        <w:t>系统标准制定；装备承制单位资格及增项通过年度审核；新签订单比去年同期增幅较高，主要源于后端保障市场订单增长，服务创收成为新的利润增长点；通过模式创新，与行业资深团队联合投资布局船舶服务公司，年度内可实现订单转化；把握机会，通过自研和资本运作方式，强化军工产业布局，与军工央企进行全方位合作。</w:t>
      </w:r>
    </w:p>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eastAsia="Times New Roman" w:cs="Times New Roman"/>
          <w:b/>
          <w:bCs/>
          <w:kern w:val="0"/>
          <w:sz w:val="21"/>
          <w:szCs w:val="21"/>
          <w:lang w:val="zh-CN"/>
        </w:rPr>
        <w:t>4</w:t>
      </w:r>
      <w:r>
        <w:rPr>
          <w:rFonts w:ascii="宋体" w:hAnsi="宋体" w:hint="eastAsia"/>
          <w:b/>
          <w:bCs/>
          <w:kern w:val="0"/>
          <w:sz w:val="21"/>
          <w:szCs w:val="21"/>
          <w:lang w:val="zh-CN"/>
        </w:rPr>
        <w:t>、其它重要事项</w:t>
      </w:r>
    </w:p>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eastAsia="Times New Roman" w:cs="Times New Roman"/>
          <w:b/>
          <w:bCs/>
          <w:kern w:val="0"/>
          <w:sz w:val="21"/>
          <w:szCs w:val="21"/>
          <w:lang w:val="zh-CN"/>
        </w:rPr>
        <w:t>1</w:t>
      </w:r>
      <w:r>
        <w:rPr>
          <w:rFonts w:ascii="宋体" w:hAnsi="宋体" w:hint="eastAsia"/>
          <w:b/>
          <w:bCs/>
          <w:kern w:val="0"/>
          <w:sz w:val="21"/>
          <w:szCs w:val="21"/>
          <w:lang w:val="zh-CN"/>
        </w:rPr>
        <w:t>）海兰信入选福布斯</w:t>
      </w:r>
      <w:r>
        <w:rPr>
          <w:rFonts w:eastAsia="Times New Roman" w:cs="Times New Roman"/>
          <w:b/>
          <w:bCs/>
          <w:kern w:val="0"/>
          <w:sz w:val="21"/>
          <w:szCs w:val="21"/>
          <w:lang w:val="zh-CN"/>
        </w:rPr>
        <w:t>2018</w:t>
      </w:r>
      <w:r>
        <w:rPr>
          <w:rFonts w:ascii="宋体" w:hAnsi="宋体" w:hint="eastAsia"/>
          <w:b/>
          <w:bCs/>
          <w:kern w:val="0"/>
          <w:sz w:val="21"/>
          <w:szCs w:val="21"/>
          <w:lang w:val="zh-CN"/>
        </w:rPr>
        <w:t>中国最具潜力企业榜单</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福布斯中国公布了</w:t>
      </w:r>
      <w:r>
        <w:rPr>
          <w:rFonts w:eastAsia="Times New Roman" w:cs="Times New Roman"/>
          <w:kern w:val="0"/>
          <w:sz w:val="21"/>
          <w:szCs w:val="21"/>
          <w:lang w:val="zh-CN"/>
        </w:rPr>
        <w:t>2018</w:t>
      </w:r>
      <w:r>
        <w:rPr>
          <w:rFonts w:ascii="宋体" w:hAnsi="宋体" w:hint="eastAsia"/>
          <w:kern w:val="0"/>
          <w:sz w:val="21"/>
          <w:szCs w:val="21"/>
          <w:lang w:val="zh-CN"/>
        </w:rPr>
        <w:t>潜力企业榜、最具创新力企业榜等榜单，其中，上市公司潜力企业榜（</w:t>
      </w:r>
      <w:r>
        <w:rPr>
          <w:rFonts w:eastAsia="Times New Roman" w:cs="Times New Roman"/>
          <w:kern w:val="0"/>
          <w:sz w:val="21"/>
          <w:szCs w:val="21"/>
          <w:lang w:val="zh-CN"/>
        </w:rPr>
        <w:t>100</w:t>
      </w:r>
      <w:r>
        <w:rPr>
          <w:rFonts w:ascii="宋体" w:hAnsi="宋体" w:hint="eastAsia"/>
          <w:kern w:val="0"/>
          <w:sz w:val="21"/>
          <w:szCs w:val="21"/>
          <w:lang w:val="zh-CN"/>
        </w:rPr>
        <w:t>家）作为中国最具成长性的中小企业榜单，北京市仅</w:t>
      </w:r>
      <w:r>
        <w:rPr>
          <w:rFonts w:eastAsia="Times New Roman" w:cs="Times New Roman"/>
          <w:kern w:val="0"/>
          <w:sz w:val="21"/>
          <w:szCs w:val="21"/>
          <w:lang w:val="zh-CN"/>
        </w:rPr>
        <w:t>15</w:t>
      </w:r>
      <w:r>
        <w:rPr>
          <w:rFonts w:ascii="宋体" w:hAnsi="宋体" w:hint="eastAsia"/>
          <w:kern w:val="0"/>
          <w:sz w:val="21"/>
          <w:szCs w:val="21"/>
          <w:lang w:val="zh-CN"/>
        </w:rPr>
        <w:t>家企业上榜，海兰信位列其中。</w:t>
      </w:r>
    </w:p>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eastAsia="Times New Roman" w:cs="Times New Roman"/>
          <w:b/>
          <w:bCs/>
          <w:kern w:val="0"/>
          <w:sz w:val="21"/>
          <w:szCs w:val="21"/>
          <w:lang w:val="zh-CN"/>
        </w:rPr>
        <w:t>2</w:t>
      </w:r>
      <w:r>
        <w:rPr>
          <w:rFonts w:ascii="宋体" w:hAnsi="宋体" w:hint="eastAsia"/>
          <w:b/>
          <w:bCs/>
          <w:kern w:val="0"/>
          <w:sz w:val="21"/>
          <w:szCs w:val="21"/>
          <w:lang w:val="zh-CN"/>
        </w:rPr>
        <w:t>）海兰信与冰岛</w:t>
      </w:r>
      <w:r>
        <w:rPr>
          <w:rFonts w:eastAsia="Times New Roman" w:cs="Times New Roman"/>
          <w:b/>
          <w:bCs/>
          <w:kern w:val="0"/>
          <w:sz w:val="21"/>
          <w:szCs w:val="21"/>
          <w:lang w:val="zh-CN"/>
        </w:rPr>
        <w:t>Marorka</w:t>
      </w:r>
      <w:r>
        <w:rPr>
          <w:rFonts w:ascii="宋体" w:hAnsi="宋体" w:hint="eastAsia"/>
          <w:b/>
          <w:bCs/>
          <w:kern w:val="0"/>
          <w:sz w:val="21"/>
          <w:szCs w:val="21"/>
          <w:lang w:val="zh-CN"/>
        </w:rPr>
        <w:t>公司签署战略合作协议</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eastAsia="Times New Roman" w:cs="Times New Roman"/>
          <w:kern w:val="0"/>
          <w:sz w:val="21"/>
          <w:szCs w:val="21"/>
          <w:lang w:val="zh-CN"/>
        </w:rPr>
        <w:t>Marorka</w:t>
      </w:r>
      <w:r>
        <w:rPr>
          <w:rFonts w:ascii="宋体" w:hAnsi="宋体" w:hint="eastAsia"/>
          <w:kern w:val="0"/>
          <w:sz w:val="21"/>
          <w:szCs w:val="21"/>
          <w:lang w:val="zh-CN"/>
        </w:rPr>
        <w:t>的能效管理系统（</w:t>
      </w:r>
      <w:r>
        <w:rPr>
          <w:rFonts w:eastAsia="Times New Roman" w:cs="Times New Roman"/>
          <w:kern w:val="0"/>
          <w:sz w:val="21"/>
          <w:szCs w:val="21"/>
          <w:lang w:val="zh-CN"/>
        </w:rPr>
        <w:t>EMS</w:t>
      </w:r>
      <w:r>
        <w:rPr>
          <w:rFonts w:ascii="宋体" w:hAnsi="宋体" w:hint="eastAsia"/>
          <w:kern w:val="0"/>
          <w:sz w:val="21"/>
          <w:szCs w:val="21"/>
          <w:lang w:val="zh-CN"/>
        </w:rPr>
        <w:t>）是船舶行业内领先的能效管理解决方案，目前已成功应用在了</w:t>
      </w:r>
      <w:r>
        <w:rPr>
          <w:rFonts w:eastAsia="Times New Roman" w:cs="Times New Roman"/>
          <w:kern w:val="0"/>
          <w:sz w:val="21"/>
          <w:szCs w:val="21"/>
          <w:lang w:val="zh-CN"/>
        </w:rPr>
        <w:t>600</w:t>
      </w:r>
      <w:r>
        <w:rPr>
          <w:rFonts w:ascii="宋体" w:hAnsi="宋体" w:hint="eastAsia"/>
          <w:kern w:val="0"/>
          <w:sz w:val="21"/>
          <w:szCs w:val="21"/>
          <w:lang w:val="zh-CN"/>
        </w:rPr>
        <w:t>余条船上，积累了大量数据及应用经验，得到客户广泛认可。基于对技术发展及智能船应用方向上的共识与各自产品上的互补作用，双方决定在系统技术、商务以及具体项目展开多维度战略合作。</w:t>
      </w:r>
    </w:p>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eastAsia="Times New Roman" w:cs="Times New Roman"/>
          <w:b/>
          <w:bCs/>
          <w:kern w:val="0"/>
          <w:sz w:val="21"/>
          <w:szCs w:val="21"/>
          <w:lang w:val="zh-CN"/>
        </w:rPr>
        <w:t>3</w:t>
      </w:r>
      <w:r>
        <w:rPr>
          <w:rFonts w:ascii="宋体" w:hAnsi="宋体" w:hint="eastAsia"/>
          <w:b/>
          <w:bCs/>
          <w:kern w:val="0"/>
          <w:sz w:val="21"/>
          <w:szCs w:val="21"/>
          <w:lang w:val="zh-CN"/>
        </w:rPr>
        <w:t>）注销回购专户部分股票，回购激励方案仍继续</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lastRenderedPageBreak/>
        <w:t>为顺利推动发行股份购买资产的相关工作，避免因回购注销公司股份而导致公司股本的不确定性，根据</w:t>
      </w:r>
      <w:r>
        <w:rPr>
          <w:rFonts w:eastAsia="Times New Roman" w:cs="Times New Roman"/>
          <w:kern w:val="0"/>
          <w:sz w:val="21"/>
          <w:szCs w:val="21"/>
          <w:lang w:val="zh-CN"/>
        </w:rPr>
        <w:t xml:space="preserve"> 2018 </w:t>
      </w:r>
      <w:r>
        <w:rPr>
          <w:rFonts w:ascii="宋体" w:hAnsi="宋体" w:hint="eastAsia"/>
          <w:kern w:val="0"/>
          <w:sz w:val="21"/>
          <w:szCs w:val="21"/>
          <w:lang w:val="zh-CN"/>
        </w:rPr>
        <w:t>年第一次临时股东大会对董事会的授权，</w:t>
      </w:r>
      <w:r>
        <w:rPr>
          <w:rFonts w:eastAsia="Times New Roman" w:cs="Times New Roman"/>
          <w:kern w:val="0"/>
          <w:sz w:val="21"/>
          <w:szCs w:val="21"/>
          <w:lang w:val="zh-CN"/>
        </w:rPr>
        <w:t xml:space="preserve">2018 </w:t>
      </w:r>
      <w:r>
        <w:rPr>
          <w:rFonts w:ascii="宋体" w:hAnsi="宋体" w:hint="eastAsia"/>
          <w:kern w:val="0"/>
          <w:sz w:val="21"/>
          <w:szCs w:val="21"/>
          <w:lang w:val="zh-CN"/>
        </w:rPr>
        <w:t>年</w:t>
      </w:r>
      <w:r>
        <w:rPr>
          <w:rFonts w:eastAsia="Times New Roman" w:cs="Times New Roman"/>
          <w:kern w:val="0"/>
          <w:sz w:val="21"/>
          <w:szCs w:val="21"/>
          <w:lang w:val="zh-CN"/>
        </w:rPr>
        <w:t xml:space="preserve"> 7 </w:t>
      </w:r>
      <w:r>
        <w:rPr>
          <w:rFonts w:ascii="宋体" w:hAnsi="宋体" w:hint="eastAsia"/>
          <w:kern w:val="0"/>
          <w:sz w:val="21"/>
          <w:szCs w:val="21"/>
          <w:lang w:val="zh-CN"/>
        </w:rPr>
        <w:t>月</w:t>
      </w:r>
      <w:r>
        <w:rPr>
          <w:rFonts w:eastAsia="Times New Roman" w:cs="Times New Roman"/>
          <w:kern w:val="0"/>
          <w:sz w:val="21"/>
          <w:szCs w:val="21"/>
          <w:lang w:val="zh-CN"/>
        </w:rPr>
        <w:t xml:space="preserve"> 27 </w:t>
      </w:r>
      <w:r>
        <w:rPr>
          <w:rFonts w:ascii="宋体" w:hAnsi="宋体" w:hint="eastAsia"/>
          <w:kern w:val="0"/>
          <w:sz w:val="21"/>
          <w:szCs w:val="21"/>
          <w:lang w:val="zh-CN"/>
        </w:rPr>
        <w:t>日，公司召开第四届董事会第十三次会议，审议通过了《关</w:t>
      </w:r>
      <w:r>
        <w:rPr>
          <w:rFonts w:eastAsia="Times New Roman" w:cs="Times New Roman"/>
          <w:kern w:val="0"/>
          <w:sz w:val="21"/>
          <w:szCs w:val="21"/>
          <w:lang w:val="zh-CN"/>
        </w:rPr>
        <w:t xml:space="preserve"> </w:t>
      </w:r>
      <w:r>
        <w:rPr>
          <w:rFonts w:ascii="宋体" w:hAnsi="宋体" w:hint="eastAsia"/>
          <w:kern w:val="0"/>
          <w:sz w:val="21"/>
          <w:szCs w:val="21"/>
          <w:lang w:val="zh-CN"/>
        </w:rPr>
        <w:t>于注销回购专户部分股票的议案》，本公司计划注销回购专户其中</w:t>
      </w:r>
      <w:r>
        <w:rPr>
          <w:rFonts w:eastAsia="Times New Roman" w:cs="Times New Roman"/>
          <w:kern w:val="0"/>
          <w:sz w:val="21"/>
          <w:szCs w:val="21"/>
          <w:lang w:val="zh-CN"/>
        </w:rPr>
        <w:t xml:space="preserve"> 3,523,233 </w:t>
      </w:r>
      <w:r>
        <w:rPr>
          <w:rFonts w:ascii="宋体" w:hAnsi="宋体" w:hint="eastAsia"/>
          <w:kern w:val="0"/>
          <w:sz w:val="21"/>
          <w:szCs w:val="21"/>
          <w:lang w:val="zh-CN"/>
        </w:rPr>
        <w:t>股</w:t>
      </w:r>
      <w:r>
        <w:rPr>
          <w:rFonts w:eastAsia="Times New Roman" w:cs="Times New Roman"/>
          <w:kern w:val="0"/>
          <w:sz w:val="21"/>
          <w:szCs w:val="21"/>
          <w:lang w:val="zh-CN"/>
        </w:rPr>
        <w:t xml:space="preserve"> </w:t>
      </w:r>
      <w:r>
        <w:rPr>
          <w:rFonts w:ascii="宋体" w:hAnsi="宋体" w:hint="eastAsia"/>
          <w:kern w:val="0"/>
          <w:sz w:val="21"/>
          <w:szCs w:val="21"/>
          <w:lang w:val="zh-CN"/>
        </w:rPr>
        <w:t>股票，均价为</w:t>
      </w:r>
      <w:r>
        <w:rPr>
          <w:rFonts w:eastAsia="Times New Roman" w:cs="Times New Roman"/>
          <w:kern w:val="0"/>
          <w:sz w:val="21"/>
          <w:szCs w:val="21"/>
          <w:lang w:val="zh-CN"/>
        </w:rPr>
        <w:t xml:space="preserve"> 14.191514 </w:t>
      </w:r>
      <w:r>
        <w:rPr>
          <w:rFonts w:ascii="宋体" w:hAnsi="宋体" w:hint="eastAsia"/>
          <w:kern w:val="0"/>
          <w:sz w:val="21"/>
          <w:szCs w:val="21"/>
          <w:lang w:val="zh-CN"/>
        </w:rPr>
        <w:t>元</w:t>
      </w:r>
      <w:r>
        <w:rPr>
          <w:rFonts w:eastAsia="Times New Roman" w:cs="Times New Roman"/>
          <w:kern w:val="0"/>
          <w:sz w:val="21"/>
          <w:szCs w:val="21"/>
          <w:lang w:val="zh-CN"/>
        </w:rPr>
        <w:t>/</w:t>
      </w:r>
      <w:r>
        <w:rPr>
          <w:rFonts w:ascii="宋体" w:hAnsi="宋体" w:hint="eastAsia"/>
          <w:kern w:val="0"/>
          <w:sz w:val="21"/>
          <w:szCs w:val="21"/>
          <w:lang w:val="zh-CN"/>
        </w:rPr>
        <w:t>股，对应金额为</w:t>
      </w:r>
      <w:r>
        <w:rPr>
          <w:rFonts w:eastAsia="Times New Roman" w:cs="Times New Roman"/>
          <w:kern w:val="0"/>
          <w:sz w:val="21"/>
          <w:szCs w:val="21"/>
          <w:lang w:val="zh-CN"/>
        </w:rPr>
        <w:t xml:space="preserve"> 50,000,010.44 </w:t>
      </w:r>
      <w:r>
        <w:rPr>
          <w:rFonts w:ascii="宋体" w:hAnsi="宋体" w:hint="eastAsia"/>
          <w:kern w:val="0"/>
          <w:sz w:val="21"/>
          <w:szCs w:val="21"/>
          <w:lang w:val="zh-CN"/>
        </w:rPr>
        <w:t>元。近日公司正在向</w:t>
      </w:r>
      <w:r>
        <w:rPr>
          <w:rFonts w:eastAsia="Times New Roman" w:cs="Times New Roman"/>
          <w:kern w:val="0"/>
          <w:sz w:val="21"/>
          <w:szCs w:val="21"/>
          <w:lang w:val="zh-CN"/>
        </w:rPr>
        <w:t xml:space="preserve"> </w:t>
      </w:r>
      <w:r>
        <w:rPr>
          <w:rFonts w:ascii="宋体" w:hAnsi="宋体" w:hint="eastAsia"/>
          <w:kern w:val="0"/>
          <w:sz w:val="21"/>
          <w:szCs w:val="21"/>
          <w:lang w:val="zh-CN"/>
        </w:rPr>
        <w:t>中国证券登记结算有限责任公司深圳分公司申请办理上述</w:t>
      </w:r>
      <w:r>
        <w:rPr>
          <w:rFonts w:eastAsia="Times New Roman" w:cs="Times New Roman"/>
          <w:kern w:val="0"/>
          <w:sz w:val="21"/>
          <w:szCs w:val="21"/>
          <w:lang w:val="zh-CN"/>
        </w:rPr>
        <w:t xml:space="preserve"> 3,523,233 </w:t>
      </w:r>
      <w:r>
        <w:rPr>
          <w:rFonts w:ascii="宋体" w:hAnsi="宋体" w:hint="eastAsia"/>
          <w:kern w:val="0"/>
          <w:sz w:val="21"/>
          <w:szCs w:val="21"/>
          <w:lang w:val="zh-CN"/>
        </w:rPr>
        <w:t>股回购股份注销手续。</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公司自筹资金</w:t>
      </w:r>
      <w:r>
        <w:rPr>
          <w:rFonts w:eastAsia="Times New Roman" w:cs="Times New Roman"/>
          <w:kern w:val="0"/>
          <w:sz w:val="21"/>
          <w:szCs w:val="21"/>
          <w:lang w:val="zh-CN"/>
        </w:rPr>
        <w:t xml:space="preserve"> 3000 </w:t>
      </w:r>
      <w:r>
        <w:rPr>
          <w:rFonts w:ascii="宋体" w:hAnsi="宋体" w:hint="eastAsia"/>
          <w:kern w:val="0"/>
          <w:sz w:val="21"/>
          <w:szCs w:val="21"/>
          <w:lang w:val="zh-CN"/>
        </w:rPr>
        <w:t>万元</w:t>
      </w:r>
      <w:r>
        <w:rPr>
          <w:rFonts w:eastAsia="Times New Roman" w:cs="Times New Roman"/>
          <w:kern w:val="0"/>
          <w:sz w:val="21"/>
          <w:szCs w:val="21"/>
          <w:lang w:val="zh-CN"/>
        </w:rPr>
        <w:t xml:space="preserve">-1 </w:t>
      </w:r>
      <w:r>
        <w:rPr>
          <w:rFonts w:ascii="宋体" w:hAnsi="宋体" w:hint="eastAsia"/>
          <w:kern w:val="0"/>
          <w:sz w:val="21"/>
          <w:szCs w:val="21"/>
          <w:lang w:val="zh-CN"/>
        </w:rPr>
        <w:t>亿元用于股权激励或员工持股计划的股票回购仍在有效期内（截止到</w:t>
      </w:r>
      <w:r>
        <w:rPr>
          <w:rFonts w:eastAsia="Times New Roman" w:cs="Times New Roman"/>
          <w:kern w:val="0"/>
          <w:sz w:val="21"/>
          <w:szCs w:val="21"/>
          <w:lang w:val="zh-CN"/>
        </w:rPr>
        <w:t xml:space="preserve"> 2019 </w:t>
      </w:r>
      <w:r>
        <w:rPr>
          <w:rFonts w:ascii="宋体" w:hAnsi="宋体" w:hint="eastAsia"/>
          <w:kern w:val="0"/>
          <w:sz w:val="21"/>
          <w:szCs w:val="21"/>
          <w:lang w:val="zh-CN"/>
        </w:rPr>
        <w:t>年</w:t>
      </w:r>
      <w:r>
        <w:rPr>
          <w:rFonts w:eastAsia="Times New Roman" w:cs="Times New Roman"/>
          <w:kern w:val="0"/>
          <w:sz w:val="21"/>
          <w:szCs w:val="21"/>
          <w:lang w:val="zh-CN"/>
        </w:rPr>
        <w:t xml:space="preserve"> 2 </w:t>
      </w:r>
      <w:r>
        <w:rPr>
          <w:rFonts w:ascii="宋体" w:hAnsi="宋体" w:hint="eastAsia"/>
          <w:kern w:val="0"/>
          <w:sz w:val="21"/>
          <w:szCs w:val="21"/>
          <w:lang w:val="zh-CN"/>
        </w:rPr>
        <w:t>月</w:t>
      </w:r>
      <w:r>
        <w:rPr>
          <w:rFonts w:eastAsia="Times New Roman" w:cs="Times New Roman"/>
          <w:kern w:val="0"/>
          <w:sz w:val="21"/>
          <w:szCs w:val="21"/>
          <w:lang w:val="zh-CN"/>
        </w:rPr>
        <w:t xml:space="preserve"> 22 </w:t>
      </w:r>
      <w:r>
        <w:rPr>
          <w:rFonts w:ascii="宋体" w:hAnsi="宋体" w:hint="eastAsia"/>
          <w:kern w:val="0"/>
          <w:sz w:val="21"/>
          <w:szCs w:val="21"/>
          <w:lang w:val="zh-CN"/>
        </w:rPr>
        <w:t>日），公司后续将根据市场情况继续在回购</w:t>
      </w:r>
      <w:r>
        <w:rPr>
          <w:rFonts w:eastAsia="Times New Roman" w:cs="Times New Roman"/>
          <w:kern w:val="0"/>
          <w:sz w:val="21"/>
          <w:szCs w:val="21"/>
          <w:lang w:val="zh-CN"/>
        </w:rPr>
        <w:t xml:space="preserve"> </w:t>
      </w:r>
      <w:r>
        <w:rPr>
          <w:rFonts w:ascii="宋体" w:hAnsi="宋体" w:hint="eastAsia"/>
          <w:kern w:val="0"/>
          <w:sz w:val="21"/>
          <w:szCs w:val="21"/>
          <w:lang w:val="zh-CN"/>
        </w:rPr>
        <w:t>期限内实施本回购计划。</w:t>
      </w:r>
    </w:p>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eastAsia="Times New Roman" w:cs="Times New Roman"/>
          <w:b/>
          <w:bCs/>
          <w:kern w:val="0"/>
          <w:sz w:val="21"/>
          <w:szCs w:val="21"/>
          <w:lang w:val="zh-CN"/>
        </w:rPr>
        <w:t>4</w:t>
      </w:r>
      <w:r>
        <w:rPr>
          <w:rFonts w:ascii="宋体" w:hAnsi="宋体" w:hint="eastAsia"/>
          <w:b/>
          <w:bCs/>
          <w:kern w:val="0"/>
          <w:sz w:val="21"/>
          <w:szCs w:val="21"/>
          <w:lang w:val="zh-CN"/>
        </w:rPr>
        <w:t>）重要行业展会</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eastAsia="Times New Roman" w:cs="Times New Roman"/>
          <w:kern w:val="0"/>
          <w:sz w:val="21"/>
          <w:szCs w:val="21"/>
          <w:lang w:val="zh-CN"/>
        </w:rPr>
        <w:t>2018</w:t>
      </w:r>
      <w:r>
        <w:rPr>
          <w:rFonts w:ascii="宋体" w:hAnsi="宋体" w:hint="eastAsia"/>
          <w:kern w:val="0"/>
          <w:sz w:val="21"/>
          <w:szCs w:val="21"/>
          <w:lang w:val="zh-CN"/>
        </w:rPr>
        <w:t>年</w:t>
      </w:r>
      <w:r>
        <w:rPr>
          <w:rFonts w:eastAsia="Times New Roman" w:cs="Times New Roman"/>
          <w:kern w:val="0"/>
          <w:sz w:val="21"/>
          <w:szCs w:val="21"/>
          <w:lang w:val="zh-CN"/>
        </w:rPr>
        <w:t>3</w:t>
      </w:r>
      <w:r>
        <w:rPr>
          <w:rFonts w:ascii="宋体" w:hAnsi="宋体" w:hint="eastAsia"/>
          <w:kern w:val="0"/>
          <w:sz w:val="21"/>
          <w:szCs w:val="21"/>
          <w:lang w:val="zh-CN"/>
        </w:rPr>
        <w:t>月</w:t>
      </w:r>
      <w:r>
        <w:rPr>
          <w:rFonts w:eastAsia="Times New Roman" w:cs="Times New Roman"/>
          <w:kern w:val="0"/>
          <w:sz w:val="21"/>
          <w:szCs w:val="21"/>
          <w:lang w:val="zh-CN"/>
        </w:rPr>
        <w:t>13—15</w:t>
      </w:r>
      <w:r>
        <w:rPr>
          <w:rFonts w:ascii="宋体" w:hAnsi="宋体" w:hint="eastAsia"/>
          <w:kern w:val="0"/>
          <w:sz w:val="21"/>
          <w:szCs w:val="21"/>
          <w:lang w:val="zh-CN"/>
        </w:rPr>
        <w:t>日，劳雷海洋受邀参加伦敦国际海洋技术与工程设备展览（</w:t>
      </w:r>
      <w:r>
        <w:rPr>
          <w:rFonts w:eastAsia="Times New Roman" w:cs="Times New Roman"/>
          <w:kern w:val="0"/>
          <w:sz w:val="21"/>
          <w:szCs w:val="21"/>
          <w:lang w:val="zh-CN"/>
        </w:rPr>
        <w:t>OI</w:t>
      </w:r>
      <w:r>
        <w:rPr>
          <w:rFonts w:ascii="宋体" w:hAnsi="宋体" w:hint="eastAsia"/>
          <w:kern w:val="0"/>
          <w:sz w:val="21"/>
          <w:szCs w:val="21"/>
          <w:lang w:val="zh-CN"/>
        </w:rPr>
        <w:t>），聚焦海洋信息通信技术及数字解决方案。</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eastAsia="Times New Roman" w:cs="Times New Roman"/>
          <w:kern w:val="0"/>
          <w:sz w:val="21"/>
          <w:szCs w:val="21"/>
          <w:lang w:val="zh-CN"/>
        </w:rPr>
        <w:t>2018</w:t>
      </w:r>
      <w:r>
        <w:rPr>
          <w:rFonts w:ascii="宋体" w:hAnsi="宋体" w:hint="eastAsia"/>
          <w:kern w:val="0"/>
          <w:sz w:val="21"/>
          <w:szCs w:val="21"/>
          <w:lang w:val="zh-CN"/>
        </w:rPr>
        <w:t>年</w:t>
      </w:r>
      <w:r>
        <w:rPr>
          <w:rFonts w:eastAsia="Times New Roman" w:cs="Times New Roman"/>
          <w:kern w:val="0"/>
          <w:sz w:val="21"/>
          <w:szCs w:val="21"/>
          <w:lang w:val="zh-CN"/>
        </w:rPr>
        <w:t>4</w:t>
      </w:r>
      <w:r>
        <w:rPr>
          <w:rFonts w:ascii="宋体" w:hAnsi="宋体" w:hint="eastAsia"/>
          <w:kern w:val="0"/>
          <w:sz w:val="21"/>
          <w:szCs w:val="21"/>
          <w:lang w:val="zh-CN"/>
        </w:rPr>
        <w:t>月</w:t>
      </w:r>
      <w:r>
        <w:rPr>
          <w:rFonts w:eastAsia="Times New Roman" w:cs="Times New Roman"/>
          <w:kern w:val="0"/>
          <w:sz w:val="21"/>
          <w:szCs w:val="21"/>
          <w:lang w:val="zh-CN"/>
        </w:rPr>
        <w:t>14—16</w:t>
      </w:r>
      <w:r>
        <w:rPr>
          <w:rFonts w:ascii="宋体" w:hAnsi="宋体" w:hint="eastAsia"/>
          <w:kern w:val="0"/>
          <w:sz w:val="21"/>
          <w:szCs w:val="21"/>
          <w:lang w:val="zh-CN"/>
        </w:rPr>
        <w:t>日，海兰信受邀参展新加坡亚太海事展（</w:t>
      </w:r>
      <w:r>
        <w:rPr>
          <w:rFonts w:eastAsia="Times New Roman" w:cs="Times New Roman"/>
          <w:kern w:val="0"/>
          <w:sz w:val="21"/>
          <w:szCs w:val="21"/>
          <w:lang w:val="zh-CN"/>
        </w:rPr>
        <w:t>APM</w:t>
      </w:r>
      <w:r>
        <w:rPr>
          <w:rFonts w:ascii="宋体" w:hAnsi="宋体" w:hint="eastAsia"/>
          <w:kern w:val="0"/>
          <w:sz w:val="21"/>
          <w:szCs w:val="21"/>
          <w:lang w:val="zh-CN"/>
        </w:rPr>
        <w:t>），向国际船东展示</w:t>
      </w:r>
      <w:r>
        <w:rPr>
          <w:rFonts w:eastAsia="Times New Roman" w:cs="Times New Roman"/>
          <w:kern w:val="0"/>
          <w:sz w:val="21"/>
          <w:szCs w:val="21"/>
          <w:lang w:val="zh-CN"/>
        </w:rPr>
        <w:t>INS</w:t>
      </w:r>
      <w:r>
        <w:rPr>
          <w:rFonts w:ascii="宋体" w:hAnsi="宋体" w:hint="eastAsia"/>
          <w:kern w:val="0"/>
          <w:sz w:val="21"/>
          <w:szCs w:val="21"/>
          <w:lang w:val="zh-CN"/>
        </w:rPr>
        <w:t>等智能航行系统。</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eastAsia="Times New Roman" w:cs="Times New Roman"/>
          <w:kern w:val="0"/>
          <w:sz w:val="21"/>
          <w:szCs w:val="21"/>
          <w:lang w:val="zh-CN"/>
        </w:rPr>
        <w:t>2018</w:t>
      </w:r>
      <w:r>
        <w:rPr>
          <w:rFonts w:ascii="宋体" w:hAnsi="宋体" w:hint="eastAsia"/>
          <w:kern w:val="0"/>
          <w:sz w:val="21"/>
          <w:szCs w:val="21"/>
          <w:lang w:val="zh-CN"/>
        </w:rPr>
        <w:t>年</w:t>
      </w:r>
      <w:r>
        <w:rPr>
          <w:rFonts w:eastAsia="Times New Roman" w:cs="Times New Roman"/>
          <w:kern w:val="0"/>
          <w:sz w:val="21"/>
          <w:szCs w:val="21"/>
          <w:lang w:val="zh-CN"/>
        </w:rPr>
        <w:t>4</w:t>
      </w:r>
      <w:r>
        <w:rPr>
          <w:rFonts w:ascii="宋体" w:hAnsi="宋体" w:hint="eastAsia"/>
          <w:kern w:val="0"/>
          <w:sz w:val="21"/>
          <w:szCs w:val="21"/>
          <w:lang w:val="zh-CN"/>
        </w:rPr>
        <w:t>月</w:t>
      </w:r>
      <w:r>
        <w:rPr>
          <w:rFonts w:eastAsia="Times New Roman" w:cs="Times New Roman"/>
          <w:kern w:val="0"/>
          <w:sz w:val="21"/>
          <w:szCs w:val="21"/>
          <w:lang w:val="zh-CN"/>
        </w:rPr>
        <w:t>22-24</w:t>
      </w:r>
      <w:r>
        <w:rPr>
          <w:rFonts w:ascii="宋体" w:hAnsi="宋体" w:hint="eastAsia"/>
          <w:kern w:val="0"/>
          <w:sz w:val="21"/>
          <w:szCs w:val="21"/>
          <w:lang w:val="zh-CN"/>
        </w:rPr>
        <w:t>日，作为近海雷达网的设备提供商，受邀参加福州举办的数字中国建设峰会，围绕主题</w:t>
      </w:r>
      <w:r>
        <w:rPr>
          <w:rFonts w:eastAsia="Times New Roman" w:cs="Times New Roman"/>
          <w:kern w:val="0"/>
          <w:sz w:val="21"/>
          <w:szCs w:val="21"/>
          <w:lang w:val="zh-CN"/>
        </w:rPr>
        <w:t>“</w:t>
      </w:r>
      <w:r>
        <w:rPr>
          <w:rFonts w:ascii="宋体" w:hAnsi="宋体" w:hint="eastAsia"/>
          <w:kern w:val="0"/>
          <w:sz w:val="21"/>
          <w:szCs w:val="21"/>
          <w:lang w:val="zh-CN"/>
        </w:rPr>
        <w:t>智慧海洋</w:t>
      </w:r>
      <w:r>
        <w:rPr>
          <w:rFonts w:eastAsia="Times New Roman" w:cs="Times New Roman"/>
          <w:kern w:val="0"/>
          <w:sz w:val="21"/>
          <w:szCs w:val="21"/>
          <w:lang w:val="zh-CN"/>
        </w:rPr>
        <w:t>”</w:t>
      </w:r>
      <w:r>
        <w:rPr>
          <w:rFonts w:ascii="宋体" w:hAnsi="宋体" w:hint="eastAsia"/>
          <w:kern w:val="0"/>
          <w:sz w:val="21"/>
          <w:szCs w:val="21"/>
          <w:lang w:val="zh-CN"/>
        </w:rPr>
        <w:t>，为福建社涉海用户展示了福建省近海雷达综合监测体系的功能与应用效果。</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eastAsia="Times New Roman" w:cs="Times New Roman"/>
          <w:kern w:val="0"/>
          <w:sz w:val="21"/>
          <w:szCs w:val="21"/>
          <w:lang w:val="zh-CN"/>
        </w:rPr>
        <w:t>2018</w:t>
      </w:r>
      <w:r>
        <w:rPr>
          <w:rFonts w:ascii="宋体" w:hAnsi="宋体" w:hint="eastAsia"/>
          <w:kern w:val="0"/>
          <w:sz w:val="21"/>
          <w:szCs w:val="21"/>
          <w:lang w:val="zh-CN"/>
        </w:rPr>
        <w:t>年</w:t>
      </w:r>
      <w:r>
        <w:rPr>
          <w:rFonts w:eastAsia="Times New Roman" w:cs="Times New Roman"/>
          <w:kern w:val="0"/>
          <w:sz w:val="21"/>
          <w:szCs w:val="21"/>
          <w:lang w:val="zh-CN"/>
        </w:rPr>
        <w:t>6</w:t>
      </w:r>
      <w:r>
        <w:rPr>
          <w:rFonts w:ascii="宋体" w:hAnsi="宋体" w:hint="eastAsia"/>
          <w:kern w:val="0"/>
          <w:sz w:val="21"/>
          <w:szCs w:val="21"/>
          <w:lang w:val="zh-CN"/>
        </w:rPr>
        <w:t>月</w:t>
      </w:r>
      <w:r>
        <w:rPr>
          <w:rFonts w:eastAsia="Times New Roman" w:cs="Times New Roman"/>
          <w:kern w:val="0"/>
          <w:sz w:val="21"/>
          <w:szCs w:val="21"/>
          <w:lang w:val="zh-CN"/>
        </w:rPr>
        <w:t>19</w:t>
      </w:r>
      <w:r>
        <w:rPr>
          <w:rFonts w:ascii="宋体" w:hAnsi="宋体" w:hint="eastAsia"/>
          <w:kern w:val="0"/>
          <w:sz w:val="21"/>
          <w:szCs w:val="21"/>
          <w:lang w:val="zh-CN"/>
        </w:rPr>
        <w:t>日，世界交通运输大会（</w:t>
      </w:r>
      <w:r>
        <w:rPr>
          <w:rFonts w:eastAsia="Times New Roman" w:cs="Times New Roman"/>
          <w:kern w:val="0"/>
          <w:sz w:val="21"/>
          <w:szCs w:val="21"/>
          <w:lang w:val="zh-CN"/>
        </w:rPr>
        <w:t>WTC</w:t>
      </w:r>
      <w:r>
        <w:rPr>
          <w:rFonts w:ascii="宋体" w:hAnsi="宋体" w:hint="eastAsia"/>
          <w:kern w:val="0"/>
          <w:sz w:val="21"/>
          <w:szCs w:val="21"/>
          <w:lang w:val="zh-CN"/>
        </w:rPr>
        <w:t>）期间，由中国航海学会主办，中国远洋海运集团、中国船级社、海兰信共同承办</w:t>
      </w:r>
      <w:r>
        <w:rPr>
          <w:rFonts w:eastAsia="Times New Roman" w:cs="Times New Roman"/>
          <w:kern w:val="0"/>
          <w:sz w:val="21"/>
          <w:szCs w:val="21"/>
          <w:lang w:val="zh-CN"/>
        </w:rPr>
        <w:t>“</w:t>
      </w:r>
      <w:r>
        <w:rPr>
          <w:rFonts w:ascii="宋体" w:hAnsi="宋体" w:hint="eastAsia"/>
          <w:kern w:val="0"/>
          <w:sz w:val="21"/>
          <w:szCs w:val="21"/>
          <w:lang w:val="zh-CN"/>
        </w:rPr>
        <w:t>推进冰上丝绸之路建设国际合作论坛</w:t>
      </w:r>
      <w:r>
        <w:rPr>
          <w:rFonts w:eastAsia="Times New Roman" w:cs="Times New Roman"/>
          <w:kern w:val="0"/>
          <w:sz w:val="21"/>
          <w:szCs w:val="21"/>
          <w:lang w:val="zh-CN"/>
        </w:rPr>
        <w:t>",</w:t>
      </w:r>
      <w:r>
        <w:rPr>
          <w:rFonts w:ascii="宋体" w:hAnsi="宋体" w:hint="eastAsia"/>
          <w:kern w:val="0"/>
          <w:sz w:val="21"/>
          <w:szCs w:val="21"/>
          <w:lang w:val="zh-CN"/>
        </w:rPr>
        <w:t>海兰信总工程师李常伟代表行业专家发表</w:t>
      </w:r>
      <w:r>
        <w:rPr>
          <w:rFonts w:eastAsia="Times New Roman" w:cs="Times New Roman"/>
          <w:kern w:val="0"/>
          <w:sz w:val="21"/>
          <w:szCs w:val="21"/>
          <w:lang w:val="zh-CN"/>
        </w:rPr>
        <w:t>"</w:t>
      </w:r>
      <w:r>
        <w:rPr>
          <w:rFonts w:ascii="宋体" w:hAnsi="宋体" w:hint="eastAsia"/>
          <w:kern w:val="0"/>
          <w:sz w:val="21"/>
          <w:szCs w:val="21"/>
          <w:lang w:val="zh-CN"/>
        </w:rPr>
        <w:t>智能船解决方案及规划</w:t>
      </w:r>
      <w:r>
        <w:rPr>
          <w:rFonts w:eastAsia="Times New Roman" w:cs="Times New Roman"/>
          <w:kern w:val="0"/>
          <w:sz w:val="21"/>
          <w:szCs w:val="21"/>
          <w:lang w:val="zh-CN"/>
        </w:rPr>
        <w:t>"</w:t>
      </w:r>
      <w:r>
        <w:rPr>
          <w:rFonts w:ascii="宋体" w:hAnsi="宋体" w:hint="eastAsia"/>
          <w:kern w:val="0"/>
          <w:sz w:val="21"/>
          <w:szCs w:val="21"/>
          <w:lang w:val="zh-CN"/>
        </w:rPr>
        <w:t>主题演讲，加强了公司在同业技术领域的影响力。</w:t>
      </w:r>
    </w:p>
    <w:p w:rsidR="00A9288A" w:rsidRDefault="007A4434">
      <w:pPr>
        <w:pStyle w:val="Chapter"/>
        <w:outlineLvl w:val="1"/>
        <w:rPr>
          <w:rFonts w:eastAsia="Times New Roman" w:cs="Times New Roman"/>
        </w:rPr>
      </w:pPr>
      <w:r>
        <w:rPr>
          <w:rFonts w:hint="eastAsia"/>
        </w:rPr>
        <w:t>二、主营业务分析</w:t>
      </w:r>
    </w:p>
    <w:p w:rsidR="00A9288A" w:rsidRDefault="007A4434">
      <w:pPr>
        <w:jc w:val="left"/>
        <w:rPr>
          <w:rFonts w:eastAsia="Times New Roman" w:cs="Times New Roman"/>
        </w:rPr>
      </w:pPr>
      <w:r>
        <w:rPr>
          <w:rFonts w:hint="eastAsia"/>
        </w:rPr>
        <w:t>概述</w:t>
      </w:r>
    </w:p>
    <w:p w:rsidR="00A9288A" w:rsidRDefault="007A4434">
      <w:pPr>
        <w:jc w:val="left"/>
        <w:rPr>
          <w:rFonts w:eastAsia="Times New Roman" w:cs="Times New Roman"/>
        </w:rPr>
      </w:pPr>
      <w:r>
        <w:rPr>
          <w:rFonts w:hint="eastAsia"/>
        </w:rPr>
        <w:t>参见</w:t>
      </w:r>
      <w:r>
        <w:rPr>
          <w:rFonts w:cs="Times New Roman"/>
        </w:rPr>
        <w:t>“</w:t>
      </w:r>
      <w:r>
        <w:rPr>
          <w:rFonts w:hint="eastAsia"/>
        </w:rPr>
        <w:t>经营情况讨论与分析</w:t>
      </w:r>
      <w:r>
        <w:rPr>
          <w:rFonts w:cs="Times New Roman"/>
        </w:rPr>
        <w:t>”</w:t>
      </w:r>
      <w:r>
        <w:rPr>
          <w:rFonts w:hint="eastAsia"/>
        </w:rPr>
        <w:t>中的</w:t>
      </w:r>
      <w:r>
        <w:rPr>
          <w:rFonts w:cs="Times New Roman"/>
        </w:rPr>
        <w:t>“</w:t>
      </w:r>
      <w:r>
        <w:rPr>
          <w:rFonts w:hint="eastAsia"/>
        </w:rPr>
        <w:t>一、概述</w:t>
      </w:r>
      <w:r>
        <w:rPr>
          <w:rFonts w:cs="Times New Roman"/>
        </w:rPr>
        <w:t>”</w:t>
      </w:r>
      <w:r>
        <w:rPr>
          <w:rFonts w:hint="eastAsia"/>
        </w:rPr>
        <w:t>相关内容。</w:t>
      </w:r>
    </w:p>
    <w:p w:rsidR="00A9288A" w:rsidRDefault="007A4434">
      <w:pPr>
        <w:jc w:val="left"/>
        <w:rPr>
          <w:rFonts w:eastAsia="Times New Roman" w:cs="Times New Roman"/>
        </w:rPr>
      </w:pPr>
      <w:r>
        <w:rPr>
          <w:rFonts w:hint="eastAsia"/>
        </w:rPr>
        <w:t>主要财务数据同比变动情况</w:t>
      </w:r>
    </w:p>
    <w:p w:rsidR="00A9288A" w:rsidRDefault="007A4434">
      <w:pPr>
        <w:jc w:val="right"/>
        <w:rPr>
          <w:rFonts w:eastAsia="Times New Roman" w:cs="Times New Roman"/>
        </w:rPr>
      </w:pPr>
      <w:r>
        <w:rPr>
          <w:rFonts w:hint="eastAsia"/>
        </w:rPr>
        <w:t>单位：元</w:t>
      </w:r>
    </w:p>
    <w:tbl>
      <w:tblPr>
        <w:tblW w:w="0" w:type="auto"/>
        <w:tblInd w:w="28" w:type="dxa"/>
        <w:tblLayout w:type="fixed"/>
        <w:tblCellMar>
          <w:left w:w="28" w:type="dxa"/>
          <w:right w:w="28" w:type="dxa"/>
        </w:tblCellMar>
        <w:tblLook w:val="0000" w:firstRow="0" w:lastRow="0" w:firstColumn="0" w:lastColumn="0" w:noHBand="0" w:noVBand="0"/>
      </w:tblPr>
      <w:tblGrid>
        <w:gridCol w:w="1915"/>
        <w:gridCol w:w="1913"/>
        <w:gridCol w:w="1914"/>
        <w:gridCol w:w="1914"/>
        <w:gridCol w:w="1914"/>
      </w:tblGrid>
      <w:tr w:rsidR="00A9288A">
        <w:tc>
          <w:tcPr>
            <w:tcW w:w="191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center"/>
              <w:rPr>
                <w:rFonts w:eastAsia="Times New Roman" w:cs="Times New Roman"/>
              </w:rPr>
            </w:pPr>
          </w:p>
        </w:tc>
        <w:tc>
          <w:tcPr>
            <w:tcW w:w="191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本报告期</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上年同期</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同比增减</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变动原因</w:t>
            </w:r>
          </w:p>
        </w:tc>
      </w:tr>
      <w:tr w:rsidR="00A9288A">
        <w:tc>
          <w:tcPr>
            <w:tcW w:w="191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营业收入</w:t>
            </w:r>
          </w:p>
        </w:tc>
        <w:tc>
          <w:tcPr>
            <w:tcW w:w="191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318,531,866.77</w:t>
            </w:r>
          </w:p>
        </w:tc>
        <w:tc>
          <w:tcPr>
            <w:tcW w:w="191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318,854,464.01</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-0.10%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r>
      <w:tr w:rsidR="00A9288A">
        <w:tc>
          <w:tcPr>
            <w:tcW w:w="191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营业成本</w:t>
            </w:r>
          </w:p>
        </w:tc>
        <w:tc>
          <w:tcPr>
            <w:tcW w:w="191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189,327,815.90</w:t>
            </w:r>
          </w:p>
        </w:tc>
        <w:tc>
          <w:tcPr>
            <w:tcW w:w="191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170,332,738.29</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11.15%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r>
      <w:tr w:rsidR="00A9288A">
        <w:tc>
          <w:tcPr>
            <w:tcW w:w="191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销售费用</w:t>
            </w:r>
          </w:p>
        </w:tc>
        <w:tc>
          <w:tcPr>
            <w:tcW w:w="191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29,556,080.46</w:t>
            </w:r>
          </w:p>
        </w:tc>
        <w:tc>
          <w:tcPr>
            <w:tcW w:w="191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36,914,550.58</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-19.93%</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r>
      <w:tr w:rsidR="00A9288A">
        <w:tc>
          <w:tcPr>
            <w:tcW w:w="191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管理费用</w:t>
            </w:r>
          </w:p>
        </w:tc>
        <w:tc>
          <w:tcPr>
            <w:tcW w:w="191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45,147,126.92</w:t>
            </w:r>
          </w:p>
        </w:tc>
        <w:tc>
          <w:tcPr>
            <w:tcW w:w="191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47,156,563.53</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-4.26%</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r>
      <w:tr w:rsidR="00A9288A">
        <w:tc>
          <w:tcPr>
            <w:tcW w:w="191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财务费用</w:t>
            </w:r>
          </w:p>
        </w:tc>
        <w:tc>
          <w:tcPr>
            <w:tcW w:w="191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-8,276,771.61</w:t>
            </w:r>
          </w:p>
        </w:tc>
        <w:tc>
          <w:tcPr>
            <w:tcW w:w="191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2,556,597.83</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-423.74%</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利息收入增加所致</w:t>
            </w:r>
          </w:p>
        </w:tc>
      </w:tr>
      <w:tr w:rsidR="00A9288A">
        <w:tc>
          <w:tcPr>
            <w:tcW w:w="191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所得税费用</w:t>
            </w:r>
          </w:p>
        </w:tc>
        <w:tc>
          <w:tcPr>
            <w:tcW w:w="191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11,738,702.67</w:t>
            </w:r>
          </w:p>
        </w:tc>
        <w:tc>
          <w:tcPr>
            <w:tcW w:w="191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12,524,652.90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-6.28%</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r>
      <w:tr w:rsidR="00A9288A">
        <w:tc>
          <w:tcPr>
            <w:tcW w:w="191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研发投入</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26,747,273.03</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25,014,385.99</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6.93%</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r>
      <w:tr w:rsidR="00A9288A">
        <w:tc>
          <w:tcPr>
            <w:tcW w:w="191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经营活动产生的现金流量净额</w:t>
            </w:r>
          </w:p>
        </w:tc>
        <w:tc>
          <w:tcPr>
            <w:tcW w:w="191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56,445,112.71</w:t>
            </w:r>
          </w:p>
        </w:tc>
        <w:tc>
          <w:tcPr>
            <w:tcW w:w="191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-31,991,037.88</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276.44%</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收到政府补助增加和付现成本费用减少所致</w:t>
            </w:r>
          </w:p>
        </w:tc>
      </w:tr>
      <w:tr w:rsidR="00A9288A">
        <w:tc>
          <w:tcPr>
            <w:tcW w:w="191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投资活动产生的现金流量净额</w:t>
            </w:r>
          </w:p>
        </w:tc>
        <w:tc>
          <w:tcPr>
            <w:tcW w:w="191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-1,318,279.34</w:t>
            </w:r>
          </w:p>
        </w:tc>
        <w:tc>
          <w:tcPr>
            <w:tcW w:w="191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-322,011,694.58</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99.59%</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收回银行理财资金所致</w:t>
            </w:r>
          </w:p>
        </w:tc>
      </w:tr>
      <w:tr w:rsidR="00A9288A">
        <w:tc>
          <w:tcPr>
            <w:tcW w:w="191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筹资活动产生的现金流量净额</w:t>
            </w:r>
          </w:p>
        </w:tc>
        <w:tc>
          <w:tcPr>
            <w:tcW w:w="191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-58,931,391.70</w:t>
            </w:r>
          </w:p>
        </w:tc>
        <w:tc>
          <w:tcPr>
            <w:tcW w:w="191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625,615,159.80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-109.42%</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本期归还银行借款且去年同期上海海兰劳雷有吸收少数股东投资所致</w:t>
            </w:r>
          </w:p>
        </w:tc>
      </w:tr>
      <w:tr w:rsidR="00A9288A">
        <w:tc>
          <w:tcPr>
            <w:tcW w:w="191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现金及现金等价物净增</w:t>
            </w:r>
            <w:r>
              <w:rPr>
                <w:rFonts w:hint="eastAsia"/>
              </w:rPr>
              <w:lastRenderedPageBreak/>
              <w:t>加额</w:t>
            </w:r>
          </w:p>
        </w:tc>
        <w:tc>
          <w:tcPr>
            <w:tcW w:w="191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lastRenderedPageBreak/>
              <w:t>-1,915,817.71</w:t>
            </w:r>
          </w:p>
        </w:tc>
        <w:tc>
          <w:tcPr>
            <w:tcW w:w="191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272,315,419.28</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-100.70%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去年同期上海海兰劳雷</w:t>
            </w:r>
            <w:r>
              <w:rPr>
                <w:rFonts w:hint="eastAsia"/>
              </w:rPr>
              <w:lastRenderedPageBreak/>
              <w:t>有吸收少数股东投资</w:t>
            </w:r>
          </w:p>
        </w:tc>
      </w:tr>
      <w:tr w:rsidR="00A9288A">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lastRenderedPageBreak/>
              <w:t>税金及附加</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1,807,847.07</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1,345,717.69</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34.34%</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本期应交增值税增加所致</w:t>
            </w:r>
          </w:p>
        </w:tc>
      </w:tr>
      <w:tr w:rsidR="00A9288A">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资产减值损失</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-3,405,815.42</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1,757,074.49</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-293.83%</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本期应收账款及其他应收款余额和账龄相对降低所致</w:t>
            </w:r>
          </w:p>
        </w:tc>
      </w:tr>
      <w:tr w:rsidR="00A9288A">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投资收益</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-1,683,853.93</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1,912,545.54</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-188.04%</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本期研发子公司亏损和理财收益减少所致</w:t>
            </w:r>
          </w:p>
        </w:tc>
      </w:tr>
      <w:tr w:rsidR="00A9288A">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其他收益</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19,541,058.35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5,450,499.11</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258.52%</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研发和产业化政府补助收入增加所致</w:t>
            </w:r>
          </w:p>
        </w:tc>
      </w:tr>
      <w:tr w:rsidR="00A9288A">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营业外收入</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501,411.83</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12,686,183.00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-96.05%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研发和产业化政府补助收入计入其他收益所致</w:t>
            </w:r>
          </w:p>
        </w:tc>
      </w:tr>
    </w:tbl>
    <w:p w:rsidR="00A9288A" w:rsidRDefault="007A4434">
      <w:pPr>
        <w:jc w:val="left"/>
        <w:rPr>
          <w:rFonts w:eastAsia="Times New Roman" w:cs="Times New Roman"/>
        </w:rPr>
      </w:pPr>
      <w:r>
        <w:rPr>
          <w:rFonts w:hint="eastAsia"/>
        </w:rPr>
        <w:t>公司报告期利润构成或利润来源发生重大变动</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公司报告期利润构成或利润来源没有发生重大变动。</w:t>
      </w:r>
    </w:p>
    <w:p w:rsidR="00A9288A" w:rsidRDefault="007A4434">
      <w:pPr>
        <w:jc w:val="left"/>
        <w:rPr>
          <w:rFonts w:eastAsia="Times New Roman" w:cs="Times New Roman"/>
        </w:rPr>
      </w:pPr>
      <w:r>
        <w:rPr>
          <w:rFonts w:hint="eastAsia"/>
        </w:rPr>
        <w:t>占比</w:t>
      </w:r>
      <w:r>
        <w:rPr>
          <w:rFonts w:cs="Times New Roman"/>
        </w:rPr>
        <w:t>10%</w:t>
      </w:r>
      <w:r>
        <w:rPr>
          <w:rFonts w:hint="eastAsia"/>
        </w:rPr>
        <w:t>以上的产品或服务情况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right"/>
        <w:rPr>
          <w:rFonts w:eastAsia="Times New Roman" w:cs="Times New Roman"/>
        </w:rPr>
      </w:pPr>
      <w:r>
        <w:rPr>
          <w:rFonts w:hint="eastAsia"/>
        </w:rPr>
        <w:t>单位：元</w:t>
      </w:r>
    </w:p>
    <w:tbl>
      <w:tblPr>
        <w:tblW w:w="0" w:type="auto"/>
        <w:tblInd w:w="28" w:type="dxa"/>
        <w:tblLayout w:type="fixed"/>
        <w:tblCellMar>
          <w:left w:w="28" w:type="dxa"/>
          <w:right w:w="28" w:type="dxa"/>
        </w:tblCellMar>
        <w:tblLook w:val="0000" w:firstRow="0" w:lastRow="0" w:firstColumn="0" w:lastColumn="0" w:noHBand="0" w:noVBand="0"/>
      </w:tblPr>
      <w:tblGrid>
        <w:gridCol w:w="1367"/>
        <w:gridCol w:w="1366"/>
        <w:gridCol w:w="1366"/>
        <w:gridCol w:w="1367"/>
        <w:gridCol w:w="1367"/>
        <w:gridCol w:w="1367"/>
        <w:gridCol w:w="1371"/>
      </w:tblGrid>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center"/>
              <w:rPr>
                <w:rFonts w:eastAsia="Times New Roman" w:cs="Times New Roman"/>
              </w:rPr>
            </w:pPr>
          </w:p>
        </w:tc>
        <w:tc>
          <w:tcPr>
            <w:tcW w:w="13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营业收入</w:t>
            </w:r>
          </w:p>
        </w:tc>
        <w:tc>
          <w:tcPr>
            <w:tcW w:w="13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营业成本</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毛利率</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营业收入比上年同期增减</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营业成本比上年同期增减</w:t>
            </w:r>
          </w:p>
        </w:tc>
        <w:tc>
          <w:tcPr>
            <w:tcW w:w="137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毛利率比上年同期增减</w:t>
            </w:r>
          </w:p>
        </w:tc>
      </w:tr>
      <w:tr w:rsidR="00A9288A">
        <w:tc>
          <w:tcPr>
            <w:tcW w:w="9571" w:type="dxa"/>
            <w:gridSpan w:val="7"/>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分产品或服务</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分产品</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海洋观（探）测仪器、装备与信息系统</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184,511,179.71</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99,566,138.10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46.04%</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-20.07%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-21.30%</w:t>
            </w:r>
          </w:p>
        </w:tc>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0.85%</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海事综合导航、智能装备与系统</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126,604,295.46</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85,971,158.01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32.09%</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58.53%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118.26%</w:t>
            </w:r>
          </w:p>
        </w:tc>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-18.59%</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环境监测仪器与系统</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7,416,391.60</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3,790,519.79</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48.89%</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-9.05%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-14.37%</w:t>
            </w:r>
          </w:p>
        </w:tc>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3.18%</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分地区</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国内</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285,894,768.52</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170,014,964.08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40.53%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6.61%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21.78%</w:t>
            </w:r>
          </w:p>
        </w:tc>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-7.41%</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国外</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32,637,098.25</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19,312,851.82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40.83%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-35.62%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-37.15%</w:t>
            </w:r>
          </w:p>
        </w:tc>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1.45%</w:t>
            </w:r>
          </w:p>
        </w:tc>
      </w:tr>
    </w:tbl>
    <w:p w:rsidR="00A9288A" w:rsidRDefault="007A4434">
      <w:pPr>
        <w:pStyle w:val="Chapter"/>
        <w:outlineLvl w:val="1"/>
        <w:rPr>
          <w:rFonts w:eastAsia="Times New Roman" w:cs="Times New Roman"/>
        </w:rPr>
      </w:pPr>
      <w:r>
        <w:rPr>
          <w:rFonts w:hint="eastAsia"/>
        </w:rPr>
        <w:t>三、非主营业务分析</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right"/>
        <w:rPr>
          <w:rFonts w:eastAsia="Times New Roman" w:cs="Times New Roman"/>
        </w:rPr>
      </w:pPr>
      <w:r>
        <w:rPr>
          <w:rFonts w:hint="eastAsia"/>
        </w:rPr>
        <w:t>单位：元</w:t>
      </w:r>
    </w:p>
    <w:tbl>
      <w:tblPr>
        <w:tblW w:w="0" w:type="auto"/>
        <w:tblInd w:w="28" w:type="dxa"/>
        <w:tblLayout w:type="fixed"/>
        <w:tblCellMar>
          <w:left w:w="28" w:type="dxa"/>
          <w:right w:w="28" w:type="dxa"/>
        </w:tblCellMar>
        <w:tblLook w:val="0000" w:firstRow="0" w:lastRow="0" w:firstColumn="0" w:lastColumn="0" w:noHBand="0" w:noVBand="0"/>
      </w:tblPr>
      <w:tblGrid>
        <w:gridCol w:w="1523"/>
        <w:gridCol w:w="1916"/>
        <w:gridCol w:w="1623"/>
        <w:gridCol w:w="2166"/>
        <w:gridCol w:w="2340"/>
      </w:tblGrid>
      <w:tr w:rsidR="00A9288A">
        <w:tc>
          <w:tcPr>
            <w:tcW w:w="152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center"/>
              <w:rPr>
                <w:rFonts w:eastAsia="Times New Roman" w:cs="Times New Roman"/>
              </w:rPr>
            </w:pPr>
          </w:p>
        </w:tc>
        <w:tc>
          <w:tcPr>
            <w:tcW w:w="191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金额</w:t>
            </w:r>
          </w:p>
        </w:tc>
        <w:tc>
          <w:tcPr>
            <w:tcW w:w="162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占利润总额比例</w:t>
            </w:r>
          </w:p>
        </w:tc>
        <w:tc>
          <w:tcPr>
            <w:tcW w:w="21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形成原因说明</w:t>
            </w:r>
          </w:p>
        </w:tc>
        <w:tc>
          <w:tcPr>
            <w:tcW w:w="234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是否具有可持续性</w:t>
            </w:r>
          </w:p>
        </w:tc>
      </w:tr>
      <w:tr w:rsidR="00A9288A">
        <w:tc>
          <w:tcPr>
            <w:tcW w:w="152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lastRenderedPageBreak/>
              <w:t>投资收益</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-1,683,853.93</w:t>
            </w:r>
          </w:p>
        </w:tc>
        <w:tc>
          <w:tcPr>
            <w:tcW w:w="162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-2.03%</w:t>
            </w:r>
          </w:p>
        </w:tc>
        <w:tc>
          <w:tcPr>
            <w:tcW w:w="21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参股公司研发投入大，尚未贡献利润</w:t>
            </w: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是</w:t>
            </w:r>
          </w:p>
        </w:tc>
      </w:tr>
      <w:tr w:rsidR="00A9288A">
        <w:tc>
          <w:tcPr>
            <w:tcW w:w="152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资产减值</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-3,405,815.42</w:t>
            </w:r>
          </w:p>
        </w:tc>
        <w:tc>
          <w:tcPr>
            <w:tcW w:w="162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-4.11%</w:t>
            </w:r>
          </w:p>
        </w:tc>
        <w:tc>
          <w:tcPr>
            <w:tcW w:w="21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本期应收账款和其他应收款余额和账龄相对降低所致</w:t>
            </w: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r>
      <w:tr w:rsidR="00A9288A">
        <w:tc>
          <w:tcPr>
            <w:tcW w:w="152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营业外收入</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501,411.83</w:t>
            </w:r>
          </w:p>
        </w:tc>
        <w:tc>
          <w:tcPr>
            <w:tcW w:w="162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0.61%</w:t>
            </w:r>
          </w:p>
        </w:tc>
        <w:tc>
          <w:tcPr>
            <w:tcW w:w="21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政府奖励等</w:t>
            </w: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r>
      <w:tr w:rsidR="00A9288A">
        <w:tc>
          <w:tcPr>
            <w:tcW w:w="152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营业外支出</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183,836.79</w:t>
            </w:r>
          </w:p>
        </w:tc>
        <w:tc>
          <w:tcPr>
            <w:tcW w:w="162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0.22%</w:t>
            </w:r>
          </w:p>
        </w:tc>
        <w:tc>
          <w:tcPr>
            <w:tcW w:w="21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存货损失</w:t>
            </w: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r>
      <w:tr w:rsidR="00A9288A">
        <w:tc>
          <w:tcPr>
            <w:tcW w:w="152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其他收益</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19,541,058.35</w:t>
            </w:r>
          </w:p>
        </w:tc>
        <w:tc>
          <w:tcPr>
            <w:tcW w:w="162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23.58%</w:t>
            </w:r>
          </w:p>
        </w:tc>
        <w:tc>
          <w:tcPr>
            <w:tcW w:w="21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软件退税、政府科研和产业化补助</w:t>
            </w: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是</w:t>
            </w:r>
          </w:p>
        </w:tc>
      </w:tr>
    </w:tbl>
    <w:p w:rsidR="00A9288A" w:rsidRDefault="007A4434">
      <w:pPr>
        <w:pStyle w:val="Chapter"/>
        <w:outlineLvl w:val="1"/>
        <w:rPr>
          <w:rFonts w:eastAsia="Times New Roman" w:cs="Times New Roman"/>
        </w:rPr>
      </w:pPr>
      <w:r>
        <w:rPr>
          <w:rFonts w:hint="eastAsia"/>
        </w:rPr>
        <w:t>四、资产、负债状况分析</w:t>
      </w:r>
    </w:p>
    <w:p w:rsidR="00A9288A" w:rsidRDefault="007A4434">
      <w:pPr>
        <w:pStyle w:val="Section"/>
        <w:outlineLvl w:val="2"/>
        <w:rPr>
          <w:rFonts w:eastAsia="Times New Roman" w:cs="Times New Roman"/>
        </w:rPr>
      </w:pPr>
      <w:r>
        <w:rPr>
          <w:rFonts w:cs="Times New Roman"/>
        </w:rPr>
        <w:t>1</w:t>
      </w:r>
      <w:r>
        <w:rPr>
          <w:rFonts w:hint="eastAsia"/>
        </w:rPr>
        <w:t>、资产构成重大变动情况</w:t>
      </w:r>
    </w:p>
    <w:p w:rsidR="00A9288A" w:rsidRDefault="007A4434">
      <w:pPr>
        <w:jc w:val="right"/>
        <w:rPr>
          <w:rFonts w:eastAsia="Times New Roman" w:cs="Times New Roman"/>
        </w:rPr>
      </w:pPr>
      <w:r>
        <w:rPr>
          <w:rFonts w:hint="eastAsia"/>
        </w:rPr>
        <w:t>单位：元</w:t>
      </w:r>
    </w:p>
    <w:tbl>
      <w:tblPr>
        <w:tblW w:w="0" w:type="auto"/>
        <w:tblLayout w:type="fixed"/>
        <w:tblCellMar>
          <w:left w:w="28" w:type="dxa"/>
          <w:right w:w="28" w:type="dxa"/>
        </w:tblCellMar>
        <w:tblLook w:val="0000" w:firstRow="0" w:lastRow="0" w:firstColumn="0" w:lastColumn="0" w:noHBand="0" w:noVBand="0"/>
      </w:tblPr>
      <w:tblGrid>
        <w:gridCol w:w="1385"/>
        <w:gridCol w:w="1181"/>
        <w:gridCol w:w="1077"/>
        <w:gridCol w:w="1210"/>
        <w:gridCol w:w="1078"/>
        <w:gridCol w:w="808"/>
        <w:gridCol w:w="2955"/>
      </w:tblGrid>
      <w:tr w:rsidR="00A9288A">
        <w:tc>
          <w:tcPr>
            <w:tcW w:w="1385"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center"/>
              <w:rPr>
                <w:rFonts w:eastAsia="Times New Roman" w:cs="Times New Roman"/>
              </w:rPr>
            </w:pPr>
          </w:p>
        </w:tc>
        <w:tc>
          <w:tcPr>
            <w:tcW w:w="2258"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本报告期末</w:t>
            </w:r>
          </w:p>
        </w:tc>
        <w:tc>
          <w:tcPr>
            <w:tcW w:w="2288"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上年同期末</w:t>
            </w:r>
          </w:p>
        </w:tc>
        <w:tc>
          <w:tcPr>
            <w:tcW w:w="808"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比重增减</w:t>
            </w:r>
          </w:p>
        </w:tc>
        <w:tc>
          <w:tcPr>
            <w:tcW w:w="2955"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重大变动说明</w:t>
            </w:r>
          </w:p>
        </w:tc>
      </w:tr>
      <w:tr w:rsidR="00A9288A">
        <w:tc>
          <w:tcPr>
            <w:tcW w:w="1385"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金额</w:t>
            </w:r>
          </w:p>
        </w:tc>
        <w:tc>
          <w:tcPr>
            <w:tcW w:w="107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占总资产比例</w:t>
            </w:r>
          </w:p>
        </w:tc>
        <w:tc>
          <w:tcPr>
            <w:tcW w:w="121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金额</w:t>
            </w:r>
          </w:p>
        </w:tc>
        <w:tc>
          <w:tcPr>
            <w:tcW w:w="107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占总资产比例</w:t>
            </w:r>
          </w:p>
        </w:tc>
        <w:tc>
          <w:tcPr>
            <w:tcW w:w="808"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2955"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r>
      <w:tr w:rsidR="00A9288A">
        <w:tc>
          <w:tcPr>
            <w:tcW w:w="138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货币资金</w:t>
            </w:r>
          </w:p>
        </w:tc>
        <w:tc>
          <w:tcPr>
            <w:tcW w:w="1181"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816,233,517.42</w:t>
            </w:r>
          </w:p>
        </w:tc>
        <w:tc>
          <w:tcPr>
            <w:tcW w:w="10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36.26%</w:t>
            </w:r>
          </w:p>
        </w:tc>
        <w:tc>
          <w:tcPr>
            <w:tcW w:w="1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558,925,356.47</w:t>
            </w:r>
          </w:p>
        </w:tc>
        <w:tc>
          <w:tcPr>
            <w:tcW w:w="107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22.80%</w:t>
            </w:r>
          </w:p>
        </w:tc>
        <w:tc>
          <w:tcPr>
            <w:tcW w:w="8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13.46%</w:t>
            </w:r>
          </w:p>
        </w:tc>
        <w:tc>
          <w:tcPr>
            <w:tcW w:w="295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经营现金流增加和收回银行理财产品及票据贴现增加现金所致</w:t>
            </w:r>
          </w:p>
        </w:tc>
      </w:tr>
      <w:tr w:rsidR="00A9288A">
        <w:tc>
          <w:tcPr>
            <w:tcW w:w="138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应收账款</w:t>
            </w:r>
          </w:p>
        </w:tc>
        <w:tc>
          <w:tcPr>
            <w:tcW w:w="1181"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374,874,857.63</w:t>
            </w:r>
          </w:p>
        </w:tc>
        <w:tc>
          <w:tcPr>
            <w:tcW w:w="10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16.65%</w:t>
            </w:r>
          </w:p>
        </w:tc>
        <w:tc>
          <w:tcPr>
            <w:tcW w:w="1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388,366,870.74</w:t>
            </w:r>
          </w:p>
        </w:tc>
        <w:tc>
          <w:tcPr>
            <w:tcW w:w="107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15.84%</w:t>
            </w:r>
          </w:p>
        </w:tc>
        <w:tc>
          <w:tcPr>
            <w:tcW w:w="8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0.81%</w:t>
            </w:r>
          </w:p>
        </w:tc>
        <w:tc>
          <w:tcPr>
            <w:tcW w:w="295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r>
      <w:tr w:rsidR="00A9288A">
        <w:tc>
          <w:tcPr>
            <w:tcW w:w="138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存货</w:t>
            </w:r>
          </w:p>
        </w:tc>
        <w:tc>
          <w:tcPr>
            <w:tcW w:w="1181"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183,046,508.47</w:t>
            </w:r>
          </w:p>
        </w:tc>
        <w:tc>
          <w:tcPr>
            <w:tcW w:w="10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8.13%</w:t>
            </w:r>
          </w:p>
        </w:tc>
        <w:tc>
          <w:tcPr>
            <w:tcW w:w="1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191,076,230.35</w:t>
            </w:r>
          </w:p>
        </w:tc>
        <w:tc>
          <w:tcPr>
            <w:tcW w:w="107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7.79%</w:t>
            </w:r>
          </w:p>
        </w:tc>
        <w:tc>
          <w:tcPr>
            <w:tcW w:w="8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0.34%</w:t>
            </w:r>
          </w:p>
        </w:tc>
        <w:tc>
          <w:tcPr>
            <w:tcW w:w="295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r>
      <w:tr w:rsidR="00A9288A">
        <w:tc>
          <w:tcPr>
            <w:tcW w:w="138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长期股权投资</w:t>
            </w:r>
          </w:p>
        </w:tc>
        <w:tc>
          <w:tcPr>
            <w:tcW w:w="1181"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70,038,930.43</w:t>
            </w:r>
          </w:p>
        </w:tc>
        <w:tc>
          <w:tcPr>
            <w:tcW w:w="10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3.11%</w:t>
            </w:r>
          </w:p>
        </w:tc>
        <w:tc>
          <w:tcPr>
            <w:tcW w:w="1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74,745,589.18</w:t>
            </w:r>
          </w:p>
        </w:tc>
        <w:tc>
          <w:tcPr>
            <w:tcW w:w="107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3.05%</w:t>
            </w:r>
          </w:p>
        </w:tc>
        <w:tc>
          <w:tcPr>
            <w:tcW w:w="8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0.06%</w:t>
            </w:r>
          </w:p>
        </w:tc>
        <w:tc>
          <w:tcPr>
            <w:tcW w:w="295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r>
      <w:tr w:rsidR="00A9288A">
        <w:tc>
          <w:tcPr>
            <w:tcW w:w="138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固定资产</w:t>
            </w:r>
          </w:p>
        </w:tc>
        <w:tc>
          <w:tcPr>
            <w:tcW w:w="1181"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67,620,791.51</w:t>
            </w:r>
          </w:p>
        </w:tc>
        <w:tc>
          <w:tcPr>
            <w:tcW w:w="10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3.00%</w:t>
            </w:r>
          </w:p>
        </w:tc>
        <w:tc>
          <w:tcPr>
            <w:tcW w:w="1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72,513,552.93</w:t>
            </w:r>
          </w:p>
        </w:tc>
        <w:tc>
          <w:tcPr>
            <w:tcW w:w="107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2.96%</w:t>
            </w:r>
          </w:p>
        </w:tc>
        <w:tc>
          <w:tcPr>
            <w:tcW w:w="8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0.04%</w:t>
            </w:r>
          </w:p>
        </w:tc>
        <w:tc>
          <w:tcPr>
            <w:tcW w:w="295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r>
      <w:tr w:rsidR="00A9288A">
        <w:tc>
          <w:tcPr>
            <w:tcW w:w="138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在建工程</w:t>
            </w:r>
          </w:p>
        </w:tc>
        <w:tc>
          <w:tcPr>
            <w:tcW w:w="1181"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136,039.23</w:t>
            </w:r>
          </w:p>
        </w:tc>
        <w:tc>
          <w:tcPr>
            <w:tcW w:w="10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0.01%</w:t>
            </w:r>
          </w:p>
        </w:tc>
        <w:tc>
          <w:tcPr>
            <w:tcW w:w="1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136,039.23</w:t>
            </w:r>
          </w:p>
        </w:tc>
        <w:tc>
          <w:tcPr>
            <w:tcW w:w="107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0.01%</w:t>
            </w:r>
          </w:p>
        </w:tc>
        <w:tc>
          <w:tcPr>
            <w:tcW w:w="8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0.00%</w:t>
            </w:r>
          </w:p>
        </w:tc>
        <w:tc>
          <w:tcPr>
            <w:tcW w:w="295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r>
      <w:tr w:rsidR="00A9288A">
        <w:tc>
          <w:tcPr>
            <w:tcW w:w="138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短期借款</w:t>
            </w:r>
          </w:p>
        </w:tc>
        <w:tc>
          <w:tcPr>
            <w:tcW w:w="1181"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153,327,000.00</w:t>
            </w:r>
          </w:p>
        </w:tc>
        <w:tc>
          <w:tcPr>
            <w:tcW w:w="10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6.81%</w:t>
            </w:r>
          </w:p>
        </w:tc>
        <w:tc>
          <w:tcPr>
            <w:tcW w:w="1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38,747,874.40</w:t>
            </w:r>
          </w:p>
        </w:tc>
        <w:tc>
          <w:tcPr>
            <w:tcW w:w="107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1.58%</w:t>
            </w:r>
          </w:p>
        </w:tc>
        <w:tc>
          <w:tcPr>
            <w:tcW w:w="8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5.23%</w:t>
            </w:r>
          </w:p>
        </w:tc>
        <w:tc>
          <w:tcPr>
            <w:tcW w:w="295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 xml:space="preserve"> </w:t>
            </w:r>
            <w:r>
              <w:rPr>
                <w:rFonts w:hint="eastAsia"/>
              </w:rPr>
              <w:t>比去年同期增加内保外贷</w:t>
            </w:r>
            <w:r>
              <w:rPr>
                <w:rFonts w:cs="Times New Roman"/>
              </w:rPr>
              <w:t>1.7</w:t>
            </w:r>
            <w:r>
              <w:rPr>
                <w:rFonts w:hint="eastAsia"/>
              </w:rPr>
              <w:t>亿港币所致</w:t>
            </w:r>
            <w:r>
              <w:rPr>
                <w:rFonts w:cs="Times New Roman"/>
              </w:rPr>
              <w:t xml:space="preserve"> </w:t>
            </w:r>
          </w:p>
        </w:tc>
      </w:tr>
      <w:tr w:rsidR="00A9288A">
        <w:tc>
          <w:tcPr>
            <w:tcW w:w="138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长期借款</w:t>
            </w:r>
          </w:p>
        </w:tc>
        <w:tc>
          <w:tcPr>
            <w:tcW w:w="1181"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25,147,724.40</w:t>
            </w:r>
          </w:p>
        </w:tc>
        <w:tc>
          <w:tcPr>
            <w:tcW w:w="10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1.12%</w:t>
            </w:r>
          </w:p>
        </w:tc>
        <w:tc>
          <w:tcPr>
            <w:tcW w:w="1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25,549,920.00</w:t>
            </w:r>
          </w:p>
        </w:tc>
        <w:tc>
          <w:tcPr>
            <w:tcW w:w="107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1.04%</w:t>
            </w:r>
          </w:p>
        </w:tc>
        <w:tc>
          <w:tcPr>
            <w:tcW w:w="8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0.08%</w:t>
            </w:r>
          </w:p>
        </w:tc>
        <w:tc>
          <w:tcPr>
            <w:tcW w:w="295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r>
      <w:tr w:rsidR="00A9288A">
        <w:tc>
          <w:tcPr>
            <w:tcW w:w="138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其他应收款</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26,313,281.80</w:t>
            </w:r>
          </w:p>
        </w:tc>
        <w:tc>
          <w:tcPr>
            <w:tcW w:w="10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1.17%</w:t>
            </w:r>
          </w:p>
        </w:tc>
        <w:tc>
          <w:tcPr>
            <w:tcW w:w="1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263,667,143.62</w:t>
            </w:r>
          </w:p>
        </w:tc>
        <w:tc>
          <w:tcPr>
            <w:tcW w:w="107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10.76%</w:t>
            </w:r>
          </w:p>
        </w:tc>
        <w:tc>
          <w:tcPr>
            <w:tcW w:w="8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-9.59%</w:t>
            </w:r>
          </w:p>
        </w:tc>
        <w:tc>
          <w:tcPr>
            <w:tcW w:w="295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r>
      <w:tr w:rsidR="00A9288A">
        <w:tc>
          <w:tcPr>
            <w:tcW w:w="138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其他流动资产</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42,687,071.64</w:t>
            </w:r>
          </w:p>
        </w:tc>
        <w:tc>
          <w:tcPr>
            <w:tcW w:w="10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1.90%</w:t>
            </w:r>
          </w:p>
        </w:tc>
        <w:tc>
          <w:tcPr>
            <w:tcW w:w="1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312,297,894.20</w:t>
            </w:r>
          </w:p>
        </w:tc>
        <w:tc>
          <w:tcPr>
            <w:tcW w:w="107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12.74%</w:t>
            </w:r>
          </w:p>
        </w:tc>
        <w:tc>
          <w:tcPr>
            <w:tcW w:w="8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-10.84%</w:t>
            </w:r>
          </w:p>
        </w:tc>
        <w:tc>
          <w:tcPr>
            <w:tcW w:w="295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r>
      <w:tr w:rsidR="00A9288A">
        <w:tc>
          <w:tcPr>
            <w:tcW w:w="138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无形资产</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234,654,801.60</w:t>
            </w:r>
          </w:p>
        </w:tc>
        <w:tc>
          <w:tcPr>
            <w:tcW w:w="10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10.42%</w:t>
            </w:r>
          </w:p>
        </w:tc>
        <w:tc>
          <w:tcPr>
            <w:tcW w:w="1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175,630,048.21</w:t>
            </w:r>
          </w:p>
        </w:tc>
        <w:tc>
          <w:tcPr>
            <w:tcW w:w="107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7.16%</w:t>
            </w:r>
          </w:p>
        </w:tc>
        <w:tc>
          <w:tcPr>
            <w:tcW w:w="8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3.26%</w:t>
            </w:r>
          </w:p>
        </w:tc>
        <w:tc>
          <w:tcPr>
            <w:tcW w:w="295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本期采购非专利技术</w:t>
            </w:r>
          </w:p>
        </w:tc>
      </w:tr>
      <w:tr w:rsidR="00A9288A">
        <w:tc>
          <w:tcPr>
            <w:tcW w:w="138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开发支出</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13,426,017.56</w:t>
            </w:r>
          </w:p>
        </w:tc>
        <w:tc>
          <w:tcPr>
            <w:tcW w:w="10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0.60%</w:t>
            </w:r>
          </w:p>
        </w:tc>
        <w:tc>
          <w:tcPr>
            <w:tcW w:w="1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23,042,815.27</w:t>
            </w:r>
          </w:p>
        </w:tc>
        <w:tc>
          <w:tcPr>
            <w:tcW w:w="107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0.94%</w:t>
            </w:r>
          </w:p>
        </w:tc>
        <w:tc>
          <w:tcPr>
            <w:tcW w:w="8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-0.34%</w:t>
            </w:r>
          </w:p>
        </w:tc>
        <w:tc>
          <w:tcPr>
            <w:tcW w:w="295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按研发项目进度继续资本化所致</w:t>
            </w:r>
          </w:p>
        </w:tc>
      </w:tr>
      <w:tr w:rsidR="00A9288A">
        <w:tc>
          <w:tcPr>
            <w:tcW w:w="138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其他非流动资产</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6,114,332.30</w:t>
            </w:r>
          </w:p>
        </w:tc>
        <w:tc>
          <w:tcPr>
            <w:tcW w:w="10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0.27%</w:t>
            </w:r>
          </w:p>
        </w:tc>
        <w:tc>
          <w:tcPr>
            <w:tcW w:w="1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0.00</w:t>
            </w:r>
          </w:p>
        </w:tc>
        <w:tc>
          <w:tcPr>
            <w:tcW w:w="107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0.00%</w:t>
            </w:r>
          </w:p>
        </w:tc>
        <w:tc>
          <w:tcPr>
            <w:tcW w:w="8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0.27%</w:t>
            </w:r>
          </w:p>
        </w:tc>
        <w:tc>
          <w:tcPr>
            <w:tcW w:w="295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合作研发支付进度款所致</w:t>
            </w:r>
          </w:p>
        </w:tc>
      </w:tr>
      <w:tr w:rsidR="00380E8E" w:rsidTr="00652EC2">
        <w:tc>
          <w:tcPr>
            <w:tcW w:w="1385" w:type="dxa"/>
            <w:tcBorders>
              <w:top w:val="single" w:sz="4" w:space="0" w:color="auto"/>
              <w:left w:val="single" w:sz="4" w:space="0" w:color="auto"/>
              <w:bottom w:val="single" w:sz="4" w:space="0" w:color="auto"/>
              <w:right w:val="single" w:sz="4" w:space="0" w:color="auto"/>
            </w:tcBorders>
            <w:shd w:val="clear" w:color="auto" w:fill="FFFFFF"/>
            <w:vAlign w:val="center"/>
          </w:tcPr>
          <w:p w:rsidR="00380E8E" w:rsidRDefault="00380E8E" w:rsidP="00380E8E">
            <w:pPr>
              <w:jc w:val="left"/>
            </w:pPr>
            <w:r>
              <w:rPr>
                <w:rFonts w:hint="eastAsia"/>
              </w:rPr>
              <w:t>应付票据</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bottom"/>
          </w:tcPr>
          <w:p w:rsidR="00380E8E" w:rsidRPr="00BF6717" w:rsidRDefault="00380E8E" w:rsidP="00380E8E">
            <w:pPr>
              <w:widowControl/>
              <w:jc w:val="right"/>
              <w:rPr>
                <w:rFonts w:cs="Times New Roman"/>
                <w:kern w:val="0"/>
              </w:rPr>
            </w:pPr>
            <w:r w:rsidRPr="00BF6717">
              <w:rPr>
                <w:rFonts w:cs="Times New Roman"/>
                <w:kern w:val="0"/>
              </w:rPr>
              <w:t>68,000,000.00</w:t>
            </w:r>
          </w:p>
        </w:tc>
        <w:tc>
          <w:tcPr>
            <w:tcW w:w="1077" w:type="dxa"/>
            <w:tcBorders>
              <w:top w:val="single" w:sz="4" w:space="0" w:color="auto"/>
              <w:left w:val="single" w:sz="4" w:space="0" w:color="auto"/>
              <w:bottom w:val="single" w:sz="4" w:space="0" w:color="auto"/>
              <w:right w:val="single" w:sz="4" w:space="0" w:color="auto"/>
            </w:tcBorders>
            <w:shd w:val="clear" w:color="auto" w:fill="FFFFFF"/>
            <w:vAlign w:val="bottom"/>
          </w:tcPr>
          <w:p w:rsidR="00380E8E" w:rsidRPr="00BF6717" w:rsidRDefault="00380E8E" w:rsidP="00380E8E">
            <w:pPr>
              <w:widowControl/>
              <w:jc w:val="right"/>
              <w:rPr>
                <w:rFonts w:cs="Times New Roman"/>
                <w:kern w:val="0"/>
              </w:rPr>
            </w:pPr>
            <w:r w:rsidRPr="00BF6717">
              <w:rPr>
                <w:rFonts w:cs="Times New Roman"/>
                <w:kern w:val="0"/>
              </w:rPr>
              <w:t>3.02%</w:t>
            </w:r>
          </w:p>
        </w:tc>
        <w:tc>
          <w:tcPr>
            <w:tcW w:w="1210" w:type="dxa"/>
            <w:tcBorders>
              <w:top w:val="single" w:sz="4" w:space="0" w:color="auto"/>
              <w:left w:val="single" w:sz="4" w:space="0" w:color="auto"/>
              <w:bottom w:val="single" w:sz="4" w:space="0" w:color="auto"/>
              <w:right w:val="single" w:sz="4" w:space="0" w:color="auto"/>
            </w:tcBorders>
            <w:shd w:val="clear" w:color="auto" w:fill="FFFFFF"/>
            <w:vAlign w:val="bottom"/>
          </w:tcPr>
          <w:p w:rsidR="00380E8E" w:rsidRPr="00BF6717" w:rsidRDefault="00380E8E" w:rsidP="00380E8E">
            <w:pPr>
              <w:widowControl/>
              <w:jc w:val="right"/>
              <w:rPr>
                <w:rFonts w:cs="Times New Roman"/>
                <w:kern w:val="0"/>
              </w:rPr>
            </w:pPr>
            <w:r w:rsidRPr="00BF6717">
              <w:rPr>
                <w:rFonts w:cs="Times New Roman"/>
                <w:kern w:val="0"/>
              </w:rPr>
              <w:t>0.00</w:t>
            </w:r>
          </w:p>
        </w:tc>
        <w:tc>
          <w:tcPr>
            <w:tcW w:w="1078" w:type="dxa"/>
            <w:tcBorders>
              <w:top w:val="single" w:sz="4" w:space="0" w:color="auto"/>
              <w:left w:val="single" w:sz="4" w:space="0" w:color="auto"/>
              <w:bottom w:val="single" w:sz="4" w:space="0" w:color="auto"/>
              <w:right w:val="single" w:sz="4" w:space="0" w:color="auto"/>
            </w:tcBorders>
            <w:shd w:val="clear" w:color="auto" w:fill="FFFFFF"/>
            <w:vAlign w:val="bottom"/>
          </w:tcPr>
          <w:p w:rsidR="00380E8E" w:rsidRPr="00BF6717" w:rsidRDefault="00380E8E" w:rsidP="00380E8E">
            <w:pPr>
              <w:widowControl/>
              <w:jc w:val="right"/>
              <w:rPr>
                <w:rFonts w:cs="Times New Roman"/>
                <w:kern w:val="0"/>
              </w:rPr>
            </w:pPr>
            <w:r w:rsidRPr="00BF6717">
              <w:rPr>
                <w:rFonts w:cs="Times New Roman"/>
                <w:kern w:val="0"/>
              </w:rPr>
              <w:t>0.00%</w:t>
            </w:r>
          </w:p>
        </w:tc>
        <w:tc>
          <w:tcPr>
            <w:tcW w:w="808" w:type="dxa"/>
            <w:tcBorders>
              <w:top w:val="single" w:sz="4" w:space="0" w:color="auto"/>
              <w:left w:val="single" w:sz="4" w:space="0" w:color="auto"/>
              <w:bottom w:val="single" w:sz="4" w:space="0" w:color="auto"/>
              <w:right w:val="single" w:sz="4" w:space="0" w:color="auto"/>
            </w:tcBorders>
            <w:shd w:val="clear" w:color="auto" w:fill="FFFFFF"/>
            <w:vAlign w:val="bottom"/>
          </w:tcPr>
          <w:p w:rsidR="00380E8E" w:rsidRPr="00BF6717" w:rsidRDefault="00380E8E" w:rsidP="00380E8E">
            <w:pPr>
              <w:widowControl/>
              <w:jc w:val="right"/>
              <w:rPr>
                <w:rFonts w:cs="Times New Roman"/>
                <w:kern w:val="0"/>
              </w:rPr>
            </w:pPr>
            <w:r w:rsidRPr="00BF6717">
              <w:rPr>
                <w:rFonts w:cs="Times New Roman"/>
                <w:kern w:val="0"/>
              </w:rPr>
              <w:t>3.02%</w:t>
            </w:r>
          </w:p>
        </w:tc>
        <w:tc>
          <w:tcPr>
            <w:tcW w:w="2955" w:type="dxa"/>
            <w:tcBorders>
              <w:top w:val="single" w:sz="4" w:space="0" w:color="auto"/>
              <w:left w:val="single" w:sz="4" w:space="0" w:color="auto"/>
              <w:bottom w:val="single" w:sz="4" w:space="0" w:color="auto"/>
              <w:right w:val="single" w:sz="4" w:space="0" w:color="auto"/>
            </w:tcBorders>
            <w:shd w:val="clear" w:color="auto" w:fill="FFFFFF"/>
            <w:vAlign w:val="center"/>
          </w:tcPr>
          <w:p w:rsidR="00380E8E" w:rsidRDefault="00380E8E" w:rsidP="00380E8E">
            <w:pPr>
              <w:jc w:val="left"/>
            </w:pPr>
            <w:r w:rsidRPr="00380E8E">
              <w:rPr>
                <w:rFonts w:hint="eastAsia"/>
              </w:rPr>
              <w:t>新增商业票据结算欠款所致</w:t>
            </w:r>
          </w:p>
        </w:tc>
      </w:tr>
      <w:tr w:rsidR="00380E8E" w:rsidTr="00971D50">
        <w:tc>
          <w:tcPr>
            <w:tcW w:w="1385" w:type="dxa"/>
            <w:tcBorders>
              <w:top w:val="single" w:sz="4" w:space="0" w:color="auto"/>
              <w:left w:val="single" w:sz="4" w:space="0" w:color="auto"/>
              <w:bottom w:val="single" w:sz="4" w:space="0" w:color="auto"/>
              <w:right w:val="single" w:sz="4" w:space="0" w:color="auto"/>
            </w:tcBorders>
            <w:shd w:val="clear" w:color="auto" w:fill="FFFFFF"/>
            <w:vAlign w:val="center"/>
          </w:tcPr>
          <w:p w:rsidR="00380E8E" w:rsidRDefault="00380E8E" w:rsidP="00380E8E">
            <w:pPr>
              <w:jc w:val="left"/>
              <w:rPr>
                <w:rFonts w:eastAsia="Times New Roman" w:cs="Times New Roman"/>
              </w:rPr>
            </w:pPr>
            <w:r>
              <w:rPr>
                <w:rFonts w:hint="eastAsia"/>
              </w:rPr>
              <w:t>应付账款</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bottom"/>
          </w:tcPr>
          <w:p w:rsidR="00380E8E" w:rsidRPr="00BF6717" w:rsidRDefault="00380E8E" w:rsidP="00380E8E">
            <w:pPr>
              <w:widowControl/>
              <w:jc w:val="right"/>
              <w:rPr>
                <w:rFonts w:cs="Times New Roman"/>
                <w:kern w:val="0"/>
              </w:rPr>
            </w:pPr>
            <w:r w:rsidRPr="00BF6717">
              <w:rPr>
                <w:rFonts w:cs="Times New Roman"/>
                <w:kern w:val="0"/>
              </w:rPr>
              <w:t>149,551,785.21</w:t>
            </w:r>
          </w:p>
        </w:tc>
        <w:tc>
          <w:tcPr>
            <w:tcW w:w="1077" w:type="dxa"/>
            <w:tcBorders>
              <w:top w:val="single" w:sz="4" w:space="0" w:color="auto"/>
              <w:left w:val="single" w:sz="4" w:space="0" w:color="auto"/>
              <w:bottom w:val="single" w:sz="4" w:space="0" w:color="auto"/>
              <w:right w:val="single" w:sz="4" w:space="0" w:color="auto"/>
            </w:tcBorders>
            <w:shd w:val="clear" w:color="auto" w:fill="FFFFFF"/>
            <w:vAlign w:val="bottom"/>
          </w:tcPr>
          <w:p w:rsidR="00380E8E" w:rsidRPr="00BF6717" w:rsidRDefault="00380E8E" w:rsidP="00380E8E">
            <w:pPr>
              <w:widowControl/>
              <w:jc w:val="right"/>
              <w:rPr>
                <w:rFonts w:cs="Times New Roman"/>
                <w:kern w:val="0"/>
              </w:rPr>
            </w:pPr>
            <w:r w:rsidRPr="00BF6717">
              <w:rPr>
                <w:rFonts w:cs="Times New Roman"/>
                <w:kern w:val="0"/>
              </w:rPr>
              <w:t>6.64%</w:t>
            </w:r>
          </w:p>
        </w:tc>
        <w:tc>
          <w:tcPr>
            <w:tcW w:w="1210" w:type="dxa"/>
            <w:tcBorders>
              <w:top w:val="single" w:sz="4" w:space="0" w:color="auto"/>
              <w:left w:val="single" w:sz="4" w:space="0" w:color="auto"/>
              <w:bottom w:val="single" w:sz="4" w:space="0" w:color="auto"/>
              <w:right w:val="single" w:sz="4" w:space="0" w:color="auto"/>
            </w:tcBorders>
            <w:shd w:val="clear" w:color="auto" w:fill="FFFFFF"/>
            <w:vAlign w:val="bottom"/>
          </w:tcPr>
          <w:p w:rsidR="00380E8E" w:rsidRPr="00BF6717" w:rsidRDefault="00380E8E" w:rsidP="00380E8E">
            <w:pPr>
              <w:widowControl/>
              <w:jc w:val="right"/>
              <w:rPr>
                <w:rFonts w:cs="Times New Roman"/>
                <w:kern w:val="0"/>
              </w:rPr>
            </w:pPr>
            <w:r w:rsidRPr="00BF6717">
              <w:rPr>
                <w:rFonts w:cs="Times New Roman"/>
                <w:kern w:val="0"/>
              </w:rPr>
              <w:t>67,210,875.08</w:t>
            </w:r>
          </w:p>
        </w:tc>
        <w:tc>
          <w:tcPr>
            <w:tcW w:w="1078" w:type="dxa"/>
            <w:tcBorders>
              <w:top w:val="single" w:sz="4" w:space="0" w:color="auto"/>
              <w:left w:val="single" w:sz="4" w:space="0" w:color="auto"/>
              <w:bottom w:val="single" w:sz="4" w:space="0" w:color="auto"/>
              <w:right w:val="single" w:sz="4" w:space="0" w:color="auto"/>
            </w:tcBorders>
            <w:shd w:val="clear" w:color="auto" w:fill="FFFFFF"/>
            <w:vAlign w:val="bottom"/>
          </w:tcPr>
          <w:p w:rsidR="00380E8E" w:rsidRPr="00BF6717" w:rsidRDefault="00380E8E" w:rsidP="00380E8E">
            <w:pPr>
              <w:widowControl/>
              <w:jc w:val="right"/>
              <w:rPr>
                <w:rFonts w:cs="Times New Roman"/>
                <w:kern w:val="0"/>
              </w:rPr>
            </w:pPr>
            <w:r w:rsidRPr="00BF6717">
              <w:rPr>
                <w:rFonts w:cs="Times New Roman"/>
                <w:kern w:val="0"/>
              </w:rPr>
              <w:t>2.74%</w:t>
            </w:r>
          </w:p>
        </w:tc>
        <w:tc>
          <w:tcPr>
            <w:tcW w:w="808" w:type="dxa"/>
            <w:tcBorders>
              <w:top w:val="single" w:sz="4" w:space="0" w:color="auto"/>
              <w:left w:val="single" w:sz="4" w:space="0" w:color="auto"/>
              <w:bottom w:val="single" w:sz="4" w:space="0" w:color="auto"/>
              <w:right w:val="single" w:sz="4" w:space="0" w:color="auto"/>
            </w:tcBorders>
            <w:shd w:val="clear" w:color="auto" w:fill="FFFFFF"/>
            <w:vAlign w:val="bottom"/>
          </w:tcPr>
          <w:p w:rsidR="00380E8E" w:rsidRPr="00BF6717" w:rsidRDefault="00380E8E" w:rsidP="00380E8E">
            <w:pPr>
              <w:widowControl/>
              <w:jc w:val="right"/>
              <w:rPr>
                <w:rFonts w:cs="Times New Roman"/>
                <w:kern w:val="0"/>
              </w:rPr>
            </w:pPr>
            <w:r w:rsidRPr="00BF6717">
              <w:rPr>
                <w:rFonts w:cs="Times New Roman"/>
                <w:kern w:val="0"/>
              </w:rPr>
              <w:t>3.90%</w:t>
            </w:r>
          </w:p>
        </w:tc>
        <w:tc>
          <w:tcPr>
            <w:tcW w:w="2955" w:type="dxa"/>
            <w:tcBorders>
              <w:top w:val="single" w:sz="4" w:space="0" w:color="auto"/>
              <w:left w:val="single" w:sz="4" w:space="0" w:color="auto"/>
              <w:bottom w:val="single" w:sz="4" w:space="0" w:color="auto"/>
              <w:right w:val="single" w:sz="4" w:space="0" w:color="auto"/>
            </w:tcBorders>
            <w:shd w:val="clear" w:color="auto" w:fill="FFFFFF"/>
            <w:vAlign w:val="center"/>
          </w:tcPr>
          <w:p w:rsidR="00380E8E" w:rsidRDefault="00380E8E" w:rsidP="00380E8E">
            <w:pPr>
              <w:jc w:val="left"/>
              <w:rPr>
                <w:rFonts w:eastAsia="Times New Roman" w:cs="Times New Roman"/>
              </w:rPr>
            </w:pPr>
            <w:r>
              <w:rPr>
                <w:rFonts w:hint="eastAsia"/>
              </w:rPr>
              <w:t>应付供应商款项增加所致</w:t>
            </w:r>
          </w:p>
        </w:tc>
      </w:tr>
      <w:tr w:rsidR="00A9288A">
        <w:tc>
          <w:tcPr>
            <w:tcW w:w="138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预收款项</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57,046,204.40</w:t>
            </w:r>
          </w:p>
        </w:tc>
        <w:tc>
          <w:tcPr>
            <w:tcW w:w="10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2.53%</w:t>
            </w:r>
          </w:p>
        </w:tc>
        <w:tc>
          <w:tcPr>
            <w:tcW w:w="1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82,696,129.81</w:t>
            </w:r>
          </w:p>
        </w:tc>
        <w:tc>
          <w:tcPr>
            <w:tcW w:w="107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3.37%</w:t>
            </w:r>
          </w:p>
        </w:tc>
        <w:tc>
          <w:tcPr>
            <w:tcW w:w="8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-0.84%</w:t>
            </w:r>
          </w:p>
        </w:tc>
        <w:tc>
          <w:tcPr>
            <w:tcW w:w="295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预收款项目按合同执行冲销所致</w:t>
            </w:r>
          </w:p>
        </w:tc>
      </w:tr>
      <w:tr w:rsidR="00A9288A">
        <w:tc>
          <w:tcPr>
            <w:tcW w:w="138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其他应付款</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6,852,407.19</w:t>
            </w:r>
          </w:p>
        </w:tc>
        <w:tc>
          <w:tcPr>
            <w:tcW w:w="10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0.30%</w:t>
            </w:r>
          </w:p>
        </w:tc>
        <w:tc>
          <w:tcPr>
            <w:tcW w:w="1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32,363,607.12</w:t>
            </w:r>
          </w:p>
        </w:tc>
        <w:tc>
          <w:tcPr>
            <w:tcW w:w="107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1.32%</w:t>
            </w:r>
          </w:p>
        </w:tc>
        <w:tc>
          <w:tcPr>
            <w:tcW w:w="8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-1.02%</w:t>
            </w:r>
          </w:p>
        </w:tc>
        <w:tc>
          <w:tcPr>
            <w:tcW w:w="295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本报告期应付股权投资款到期支付所</w:t>
            </w:r>
            <w:r>
              <w:rPr>
                <w:rFonts w:hint="eastAsia"/>
              </w:rPr>
              <w:lastRenderedPageBreak/>
              <w:t>致</w:t>
            </w:r>
          </w:p>
        </w:tc>
      </w:tr>
      <w:tr w:rsidR="00A9288A">
        <w:tc>
          <w:tcPr>
            <w:tcW w:w="138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lastRenderedPageBreak/>
              <w:t>长期应付款</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c>
          <w:tcPr>
            <w:tcW w:w="10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0.00%</w:t>
            </w:r>
          </w:p>
        </w:tc>
        <w:tc>
          <w:tcPr>
            <w:tcW w:w="1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9,413,495.58</w:t>
            </w:r>
          </w:p>
        </w:tc>
        <w:tc>
          <w:tcPr>
            <w:tcW w:w="107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0.38%</w:t>
            </w:r>
          </w:p>
        </w:tc>
        <w:tc>
          <w:tcPr>
            <w:tcW w:w="8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-0.38%</w:t>
            </w:r>
          </w:p>
        </w:tc>
        <w:tc>
          <w:tcPr>
            <w:tcW w:w="295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本报告期长期应付股权投资款到期支付所致</w:t>
            </w:r>
          </w:p>
        </w:tc>
      </w:tr>
      <w:tr w:rsidR="00A9288A">
        <w:tc>
          <w:tcPr>
            <w:tcW w:w="138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递延所得税负债</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5,642,478.41</w:t>
            </w:r>
          </w:p>
        </w:tc>
        <w:tc>
          <w:tcPr>
            <w:tcW w:w="10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0.25%</w:t>
            </w:r>
          </w:p>
        </w:tc>
        <w:tc>
          <w:tcPr>
            <w:tcW w:w="1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0.00</w:t>
            </w:r>
          </w:p>
        </w:tc>
        <w:tc>
          <w:tcPr>
            <w:tcW w:w="107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0.00%</w:t>
            </w:r>
          </w:p>
        </w:tc>
        <w:tc>
          <w:tcPr>
            <w:tcW w:w="8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0.25%</w:t>
            </w:r>
          </w:p>
        </w:tc>
        <w:tc>
          <w:tcPr>
            <w:tcW w:w="295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香港劳雷无形资产影响所致</w:t>
            </w:r>
          </w:p>
        </w:tc>
      </w:tr>
      <w:tr w:rsidR="00A9288A">
        <w:tc>
          <w:tcPr>
            <w:tcW w:w="138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其他综合收益</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2,863,916.28</w:t>
            </w:r>
          </w:p>
        </w:tc>
        <w:tc>
          <w:tcPr>
            <w:tcW w:w="10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0.13%</w:t>
            </w:r>
          </w:p>
        </w:tc>
        <w:tc>
          <w:tcPr>
            <w:tcW w:w="1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10,086,616.63</w:t>
            </w:r>
          </w:p>
        </w:tc>
        <w:tc>
          <w:tcPr>
            <w:tcW w:w="107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0.41%</w:t>
            </w:r>
          </w:p>
        </w:tc>
        <w:tc>
          <w:tcPr>
            <w:tcW w:w="8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-0.28%</w:t>
            </w:r>
          </w:p>
        </w:tc>
        <w:tc>
          <w:tcPr>
            <w:tcW w:w="295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外币汇率变动所致</w:t>
            </w:r>
          </w:p>
        </w:tc>
      </w:tr>
      <w:tr w:rsidR="00A9288A">
        <w:tc>
          <w:tcPr>
            <w:tcW w:w="138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少数股东权益</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501,538,428.91</w:t>
            </w:r>
          </w:p>
        </w:tc>
        <w:tc>
          <w:tcPr>
            <w:tcW w:w="10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22.28%</w:t>
            </w:r>
          </w:p>
        </w:tc>
        <w:tc>
          <w:tcPr>
            <w:tcW w:w="1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770,498,971.09</w:t>
            </w:r>
          </w:p>
        </w:tc>
        <w:tc>
          <w:tcPr>
            <w:tcW w:w="107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31.43%</w:t>
            </w:r>
          </w:p>
        </w:tc>
        <w:tc>
          <w:tcPr>
            <w:tcW w:w="8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-9.15%</w:t>
            </w:r>
          </w:p>
        </w:tc>
        <w:tc>
          <w:tcPr>
            <w:tcW w:w="295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去年下半年收购江苏海兰电气少数股东股权所致</w:t>
            </w:r>
          </w:p>
        </w:tc>
      </w:tr>
    </w:tbl>
    <w:p w:rsidR="00A9288A" w:rsidRDefault="007A4434">
      <w:pPr>
        <w:pStyle w:val="Section"/>
        <w:outlineLvl w:val="2"/>
        <w:rPr>
          <w:rFonts w:eastAsia="Times New Roman" w:cs="Times New Roman"/>
        </w:rPr>
      </w:pPr>
      <w:r>
        <w:rPr>
          <w:rFonts w:cs="Times New Roman"/>
        </w:rPr>
        <w:t>2</w:t>
      </w:r>
      <w:r>
        <w:rPr>
          <w:rFonts w:hint="eastAsia"/>
        </w:rPr>
        <w:t>、以公允价值计量的资产和负债</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Section"/>
        <w:outlineLvl w:val="2"/>
        <w:rPr>
          <w:rFonts w:eastAsia="Times New Roman" w:cs="Times New Roman"/>
        </w:rPr>
      </w:pPr>
      <w:r>
        <w:rPr>
          <w:rFonts w:cs="Times New Roman"/>
        </w:rPr>
        <w:t>3</w:t>
      </w:r>
      <w:r>
        <w:rPr>
          <w:rFonts w:hint="eastAsia"/>
        </w:rPr>
        <w:t>、截至报告期末的资产权利受限情况</w:t>
      </w:r>
    </w:p>
    <w:tbl>
      <w:tblPr>
        <w:tblW w:w="0" w:type="auto"/>
        <w:tblBorders>
          <w:bottom w:val="single" w:sz="6" w:space="0" w:color="auto"/>
          <w:right w:val="single" w:sz="6" w:space="0" w:color="auto"/>
        </w:tblBorders>
        <w:tblLayout w:type="fixed"/>
        <w:tblCellMar>
          <w:top w:w="10" w:type="dxa"/>
          <w:left w:w="10" w:type="dxa"/>
          <w:bottom w:w="10" w:type="dxa"/>
          <w:right w:w="10" w:type="dxa"/>
        </w:tblCellMar>
        <w:tblLook w:val="0000" w:firstRow="0" w:lastRow="0" w:firstColumn="0" w:lastColumn="0" w:noHBand="0" w:noVBand="0"/>
      </w:tblPr>
      <w:tblGrid>
        <w:gridCol w:w="2038"/>
        <w:gridCol w:w="2905"/>
        <w:gridCol w:w="4715"/>
      </w:tblGrid>
      <w:tr w:rsidR="00A9288A">
        <w:tc>
          <w:tcPr>
            <w:tcW w:w="2038" w:type="dxa"/>
            <w:tcBorders>
              <w:top w:val="nil"/>
              <w:left w:val="nil"/>
              <w:bottom w:val="single" w:sz="6" w:space="0" w:color="auto"/>
              <w:right w:val="single" w:sz="6" w:space="0" w:color="auto"/>
            </w:tcBorders>
          </w:tcPr>
          <w:p w:rsidR="00A9288A" w:rsidRDefault="007A4434">
            <w:pPr>
              <w:autoSpaceDE w:val="0"/>
              <w:autoSpaceDN w:val="0"/>
              <w:adjustRightInd w:val="0"/>
              <w:spacing w:before="0" w:after="0"/>
              <w:jc w:val="center"/>
              <w:rPr>
                <w:rFonts w:eastAsia="Times New Roman" w:cs="Times New Roman"/>
                <w:b/>
                <w:bCs/>
                <w:kern w:val="0"/>
                <w:lang w:val="zh-CN"/>
              </w:rPr>
            </w:pPr>
            <w:r>
              <w:rPr>
                <w:rFonts w:ascii="宋体" w:hAnsi="宋体" w:hint="eastAsia"/>
                <w:b/>
                <w:bCs/>
                <w:kern w:val="0"/>
                <w:lang w:val="zh-CN"/>
              </w:rPr>
              <w:t>项目</w:t>
            </w:r>
          </w:p>
        </w:tc>
        <w:tc>
          <w:tcPr>
            <w:tcW w:w="2905" w:type="dxa"/>
            <w:tcBorders>
              <w:top w:val="nil"/>
              <w:left w:val="nil"/>
              <w:bottom w:val="single" w:sz="6" w:space="0" w:color="auto"/>
              <w:right w:val="single" w:sz="6" w:space="0" w:color="auto"/>
            </w:tcBorders>
          </w:tcPr>
          <w:p w:rsidR="00A9288A" w:rsidRDefault="007A4434">
            <w:pPr>
              <w:autoSpaceDE w:val="0"/>
              <w:autoSpaceDN w:val="0"/>
              <w:adjustRightInd w:val="0"/>
              <w:spacing w:before="0" w:after="0"/>
              <w:jc w:val="center"/>
              <w:rPr>
                <w:rFonts w:eastAsia="Times New Roman" w:cs="Times New Roman"/>
                <w:b/>
                <w:bCs/>
                <w:kern w:val="0"/>
                <w:lang w:val="zh-CN"/>
              </w:rPr>
            </w:pPr>
            <w:r>
              <w:rPr>
                <w:rFonts w:ascii="宋体" w:hAnsi="宋体" w:hint="eastAsia"/>
                <w:b/>
                <w:bCs/>
                <w:kern w:val="0"/>
                <w:lang w:val="zh-CN"/>
              </w:rPr>
              <w:t>期末账面价值</w:t>
            </w:r>
          </w:p>
        </w:tc>
        <w:tc>
          <w:tcPr>
            <w:tcW w:w="4715" w:type="dxa"/>
            <w:tcBorders>
              <w:top w:val="nil"/>
              <w:left w:val="nil"/>
              <w:bottom w:val="single" w:sz="6" w:space="0" w:color="auto"/>
            </w:tcBorders>
          </w:tcPr>
          <w:p w:rsidR="00A9288A" w:rsidRDefault="007A4434">
            <w:pPr>
              <w:autoSpaceDE w:val="0"/>
              <w:autoSpaceDN w:val="0"/>
              <w:adjustRightInd w:val="0"/>
              <w:spacing w:before="0" w:after="0"/>
              <w:jc w:val="center"/>
              <w:rPr>
                <w:rFonts w:eastAsia="Times New Roman" w:cs="Times New Roman"/>
                <w:b/>
                <w:bCs/>
                <w:kern w:val="0"/>
                <w:lang w:val="zh-CN"/>
              </w:rPr>
            </w:pPr>
            <w:r>
              <w:rPr>
                <w:rFonts w:ascii="宋体" w:hAnsi="宋体" w:hint="eastAsia"/>
                <w:b/>
                <w:bCs/>
                <w:kern w:val="0"/>
                <w:lang w:val="zh-CN"/>
              </w:rPr>
              <w:t>受限原因</w:t>
            </w:r>
          </w:p>
        </w:tc>
      </w:tr>
      <w:tr w:rsidR="00A9288A">
        <w:tc>
          <w:tcPr>
            <w:tcW w:w="2038" w:type="dxa"/>
            <w:tcBorders>
              <w:top w:val="nil"/>
              <w:left w:val="nil"/>
              <w:bottom w:val="single" w:sz="6" w:space="0" w:color="auto"/>
              <w:right w:val="single" w:sz="6" w:space="0" w:color="auto"/>
            </w:tcBorders>
          </w:tcPr>
          <w:p w:rsidR="00A9288A" w:rsidRDefault="007A4434">
            <w:pPr>
              <w:autoSpaceDE w:val="0"/>
              <w:autoSpaceDN w:val="0"/>
              <w:adjustRightInd w:val="0"/>
              <w:spacing w:before="0" w:after="0"/>
              <w:jc w:val="center"/>
              <w:rPr>
                <w:rFonts w:eastAsia="Times New Roman" w:cs="Times New Roman"/>
                <w:kern w:val="0"/>
                <w:lang w:val="zh-CN"/>
              </w:rPr>
            </w:pPr>
            <w:r>
              <w:rPr>
                <w:rFonts w:ascii="宋体" w:hAnsi="宋体" w:hint="eastAsia"/>
                <w:kern w:val="0"/>
                <w:lang w:val="zh-CN"/>
              </w:rPr>
              <w:t>货币资金</w:t>
            </w:r>
          </w:p>
        </w:tc>
        <w:tc>
          <w:tcPr>
            <w:tcW w:w="2905" w:type="dxa"/>
            <w:tcBorders>
              <w:top w:val="nil"/>
              <w:left w:val="nil"/>
              <w:bottom w:val="single" w:sz="6" w:space="0" w:color="auto"/>
              <w:right w:val="single" w:sz="6" w:space="0" w:color="auto"/>
            </w:tcBorders>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lang w:val="en-GB"/>
              </w:rPr>
              <w:t>171,052,538.04</w:t>
            </w:r>
          </w:p>
        </w:tc>
        <w:tc>
          <w:tcPr>
            <w:tcW w:w="4715" w:type="dxa"/>
            <w:tcBorders>
              <w:top w:val="nil"/>
              <w:left w:val="nil"/>
              <w:bottom w:val="single" w:sz="6" w:space="0" w:color="auto"/>
            </w:tcBorders>
          </w:tcPr>
          <w:p w:rsidR="00A9288A" w:rsidRDefault="007A4434">
            <w:pPr>
              <w:autoSpaceDE w:val="0"/>
              <w:autoSpaceDN w:val="0"/>
              <w:adjustRightInd w:val="0"/>
              <w:spacing w:before="0" w:after="0"/>
              <w:jc w:val="center"/>
              <w:rPr>
                <w:rFonts w:eastAsia="Times New Roman" w:cs="Times New Roman"/>
                <w:kern w:val="0"/>
                <w:lang w:val="zh-CN"/>
              </w:rPr>
            </w:pPr>
            <w:r>
              <w:rPr>
                <w:rFonts w:ascii="宋体" w:hAnsi="宋体" w:hint="eastAsia"/>
                <w:kern w:val="0"/>
                <w:lang w:val="zh-CN"/>
              </w:rPr>
              <w:t>保函保证金及信用证保证金</w:t>
            </w:r>
          </w:p>
        </w:tc>
      </w:tr>
      <w:tr w:rsidR="00A9288A">
        <w:tc>
          <w:tcPr>
            <w:tcW w:w="2038" w:type="dxa"/>
            <w:tcBorders>
              <w:top w:val="nil"/>
              <w:left w:val="nil"/>
              <w:bottom w:val="single" w:sz="6" w:space="0" w:color="auto"/>
              <w:right w:val="single" w:sz="6" w:space="0" w:color="auto"/>
            </w:tcBorders>
          </w:tcPr>
          <w:p w:rsidR="00A9288A" w:rsidRDefault="007A4434">
            <w:pPr>
              <w:autoSpaceDE w:val="0"/>
              <w:autoSpaceDN w:val="0"/>
              <w:adjustRightInd w:val="0"/>
              <w:spacing w:before="0" w:after="0"/>
              <w:jc w:val="center"/>
              <w:rPr>
                <w:rFonts w:eastAsia="Times New Roman" w:cs="Times New Roman"/>
                <w:kern w:val="0"/>
                <w:lang w:val="zh-CN"/>
              </w:rPr>
            </w:pPr>
            <w:r>
              <w:rPr>
                <w:rFonts w:ascii="宋体" w:hAnsi="宋体" w:hint="eastAsia"/>
                <w:kern w:val="0"/>
                <w:lang w:val="zh-CN"/>
              </w:rPr>
              <w:t>固定资产</w:t>
            </w:r>
          </w:p>
        </w:tc>
        <w:tc>
          <w:tcPr>
            <w:tcW w:w="2905" w:type="dxa"/>
            <w:tcBorders>
              <w:top w:val="nil"/>
              <w:left w:val="nil"/>
              <w:bottom w:val="single" w:sz="6" w:space="0" w:color="auto"/>
              <w:right w:val="single" w:sz="6" w:space="0" w:color="auto"/>
            </w:tcBorders>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lang w:val="en-GB"/>
              </w:rPr>
              <w:t>29,568,166.60</w:t>
            </w:r>
          </w:p>
        </w:tc>
        <w:tc>
          <w:tcPr>
            <w:tcW w:w="4715" w:type="dxa"/>
            <w:tcBorders>
              <w:top w:val="nil"/>
              <w:left w:val="nil"/>
              <w:bottom w:val="single" w:sz="6" w:space="0" w:color="auto"/>
            </w:tcBorders>
          </w:tcPr>
          <w:p w:rsidR="00A9288A" w:rsidRDefault="007A4434">
            <w:pPr>
              <w:autoSpaceDE w:val="0"/>
              <w:autoSpaceDN w:val="0"/>
              <w:adjustRightInd w:val="0"/>
              <w:spacing w:before="0" w:after="0"/>
              <w:jc w:val="center"/>
              <w:rPr>
                <w:rFonts w:eastAsia="Times New Roman" w:cs="Times New Roman"/>
                <w:kern w:val="0"/>
                <w:lang w:val="zh-CN"/>
              </w:rPr>
            </w:pPr>
            <w:r>
              <w:rPr>
                <w:rFonts w:ascii="宋体" w:hAnsi="宋体" w:hint="eastAsia"/>
                <w:kern w:val="0"/>
                <w:lang w:val="zh-CN"/>
              </w:rPr>
              <w:t>详见附注</w:t>
            </w:r>
            <w:r>
              <w:rPr>
                <w:rFonts w:eastAsia="Times New Roman" w:cs="Times New Roman"/>
                <w:kern w:val="0"/>
                <w:lang w:val="zh-CN"/>
              </w:rPr>
              <w:t>"</w:t>
            </w:r>
            <w:r>
              <w:rPr>
                <w:rFonts w:ascii="宋体" w:hAnsi="宋体" w:hint="eastAsia"/>
                <w:kern w:val="0"/>
                <w:lang w:val="zh-CN"/>
              </w:rPr>
              <w:t>七、</w:t>
            </w:r>
            <w:r>
              <w:rPr>
                <w:rFonts w:ascii="宋体" w:hAnsi="宋体"/>
                <w:kern w:val="0"/>
                <w:lang w:val="zh-CN"/>
              </w:rPr>
              <w:t>45</w:t>
            </w:r>
            <w:r>
              <w:rPr>
                <w:rFonts w:eastAsia="Times New Roman" w:cs="Times New Roman"/>
                <w:kern w:val="0"/>
                <w:lang w:val="zh-CN"/>
              </w:rPr>
              <w:t>.</w:t>
            </w:r>
            <w:r>
              <w:rPr>
                <w:rFonts w:ascii="宋体" w:hAnsi="宋体" w:hint="eastAsia"/>
                <w:kern w:val="0"/>
                <w:lang w:val="zh-CN"/>
              </w:rPr>
              <w:t>长期借款</w:t>
            </w:r>
            <w:r>
              <w:rPr>
                <w:rFonts w:eastAsia="Times New Roman" w:cs="Times New Roman"/>
                <w:kern w:val="0"/>
                <w:lang w:val="zh-CN"/>
              </w:rPr>
              <w:t>"</w:t>
            </w:r>
          </w:p>
        </w:tc>
      </w:tr>
    </w:tbl>
    <w:p w:rsidR="00A9288A" w:rsidRDefault="007A4434">
      <w:pPr>
        <w:pStyle w:val="Chapter"/>
        <w:outlineLvl w:val="1"/>
        <w:rPr>
          <w:rFonts w:eastAsia="Times New Roman" w:cs="Times New Roman"/>
        </w:rPr>
      </w:pPr>
      <w:r>
        <w:rPr>
          <w:rFonts w:hint="eastAsia"/>
        </w:rPr>
        <w:t>五、投资状况分析</w:t>
      </w:r>
    </w:p>
    <w:p w:rsidR="00A9288A" w:rsidRDefault="007A4434">
      <w:pPr>
        <w:pStyle w:val="Section"/>
        <w:outlineLvl w:val="2"/>
        <w:rPr>
          <w:rFonts w:eastAsia="Times New Roman" w:cs="Times New Roman"/>
        </w:rPr>
      </w:pPr>
      <w:r>
        <w:rPr>
          <w:rFonts w:cs="Times New Roman"/>
        </w:rPr>
        <w:t>1</w:t>
      </w:r>
      <w:r>
        <w:rPr>
          <w:rFonts w:hint="eastAsia"/>
        </w:rPr>
        <w:t>、总体情况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tbl>
      <w:tblPr>
        <w:tblW w:w="0" w:type="auto"/>
        <w:tblInd w:w="28" w:type="dxa"/>
        <w:tblLayout w:type="fixed"/>
        <w:tblCellMar>
          <w:left w:w="28" w:type="dxa"/>
          <w:right w:w="28" w:type="dxa"/>
        </w:tblCellMar>
        <w:tblLook w:val="0000" w:firstRow="0" w:lastRow="0" w:firstColumn="0" w:lastColumn="0" w:noHBand="0" w:noVBand="0"/>
      </w:tblPr>
      <w:tblGrid>
        <w:gridCol w:w="3190"/>
        <w:gridCol w:w="3189"/>
        <w:gridCol w:w="3190"/>
      </w:tblGrid>
      <w:tr w:rsidR="00A9288A">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报告期投资额（元）</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上年同期投资额（元）</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变动幅度</w:t>
            </w:r>
          </w:p>
        </w:tc>
      </w:tr>
      <w:tr w:rsidR="00A9288A">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1,000,000.00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E8265B">
            <w:pPr>
              <w:jc w:val="right"/>
              <w:rPr>
                <w:rFonts w:cs="Times New Roman"/>
              </w:rPr>
            </w:pPr>
            <w:r>
              <w:rPr>
                <w:rFonts w:cs="Times New Roman"/>
              </w:rPr>
              <w:t>-</w:t>
            </w:r>
            <w:r w:rsidR="007A4434">
              <w:rPr>
                <w:rFonts w:cs="Times New Roman"/>
              </w:rPr>
              <w:t>100.00%</w:t>
            </w:r>
          </w:p>
        </w:tc>
      </w:tr>
    </w:tbl>
    <w:p w:rsidR="00A9288A" w:rsidRDefault="007A4434">
      <w:pPr>
        <w:pStyle w:val="Section"/>
        <w:outlineLvl w:val="2"/>
        <w:rPr>
          <w:rFonts w:eastAsia="Times New Roman" w:cs="Times New Roman"/>
        </w:rPr>
      </w:pPr>
      <w:r>
        <w:rPr>
          <w:rFonts w:cs="Times New Roman"/>
        </w:rPr>
        <w:t>2</w:t>
      </w:r>
      <w:r>
        <w:rPr>
          <w:rFonts w:hint="eastAsia"/>
        </w:rPr>
        <w:t>、报告期内获取的重大的股权投资情况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Section"/>
        <w:outlineLvl w:val="2"/>
        <w:rPr>
          <w:rFonts w:eastAsia="Times New Roman" w:cs="Times New Roman"/>
        </w:rPr>
      </w:pPr>
      <w:r>
        <w:rPr>
          <w:rFonts w:cs="Times New Roman"/>
        </w:rPr>
        <w:t>3</w:t>
      </w:r>
      <w:r>
        <w:rPr>
          <w:rFonts w:hint="eastAsia"/>
        </w:rPr>
        <w:t>、报告期内正在进行的重大的非股权投资情况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Section"/>
        <w:outlineLvl w:val="2"/>
        <w:rPr>
          <w:rFonts w:eastAsia="Times New Roman" w:cs="Times New Roman"/>
        </w:rPr>
      </w:pPr>
      <w:r>
        <w:rPr>
          <w:rFonts w:cs="Times New Roman"/>
        </w:rPr>
        <w:t>4</w:t>
      </w:r>
      <w:r>
        <w:rPr>
          <w:rFonts w:hint="eastAsia"/>
        </w:rPr>
        <w:t>、以公允价值计量的金融资产</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Section"/>
        <w:outlineLvl w:val="2"/>
        <w:rPr>
          <w:rFonts w:eastAsia="Times New Roman" w:cs="Times New Roman"/>
        </w:rPr>
      </w:pPr>
      <w:r>
        <w:rPr>
          <w:rFonts w:cs="Times New Roman"/>
        </w:rPr>
        <w:t>5</w:t>
      </w:r>
      <w:r>
        <w:rPr>
          <w:rFonts w:hint="eastAsia"/>
        </w:rPr>
        <w:t>、募集资金使用情况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Section"/>
        <w:outlineLvl w:val="3"/>
        <w:rPr>
          <w:rFonts w:eastAsia="Times New Roman" w:cs="Times New Roman"/>
        </w:rPr>
      </w:pPr>
      <w:r>
        <w:rPr>
          <w:rFonts w:hint="eastAsia"/>
        </w:rPr>
        <w:lastRenderedPageBreak/>
        <w:t>（</w:t>
      </w:r>
      <w:r>
        <w:rPr>
          <w:rFonts w:cs="Times New Roman"/>
        </w:rPr>
        <w:t>1</w:t>
      </w:r>
      <w:r>
        <w:rPr>
          <w:rFonts w:hint="eastAsia"/>
        </w:rPr>
        <w:t>）募集资金总体使用情况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right"/>
        <w:rPr>
          <w:rFonts w:eastAsia="Times New Roman" w:cs="Times New Roman"/>
        </w:rPr>
      </w:pPr>
      <w:r>
        <w:rPr>
          <w:rFonts w:hint="eastAsia"/>
        </w:rPr>
        <w:t>单位：万元</w:t>
      </w:r>
    </w:p>
    <w:tbl>
      <w:tblPr>
        <w:tblW w:w="0" w:type="auto"/>
        <w:tblInd w:w="28" w:type="dxa"/>
        <w:tblLayout w:type="fixed"/>
        <w:tblCellMar>
          <w:left w:w="28" w:type="dxa"/>
          <w:right w:w="28" w:type="dxa"/>
        </w:tblCellMar>
        <w:tblLook w:val="0000" w:firstRow="0" w:lastRow="0" w:firstColumn="0" w:lastColumn="0" w:noHBand="0" w:noVBand="0"/>
      </w:tblPr>
      <w:tblGrid>
        <w:gridCol w:w="4100"/>
        <w:gridCol w:w="5468"/>
      </w:tblGrid>
      <w:tr w:rsidR="00A9288A">
        <w:tc>
          <w:tcPr>
            <w:tcW w:w="41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募集资金总额</w:t>
            </w:r>
          </w:p>
        </w:tc>
        <w:tc>
          <w:tcPr>
            <w:tcW w:w="54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45,428</w:t>
            </w:r>
          </w:p>
        </w:tc>
      </w:tr>
      <w:tr w:rsidR="00A9288A">
        <w:tc>
          <w:tcPr>
            <w:tcW w:w="41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报告期投入募集资金总额</w:t>
            </w:r>
          </w:p>
        </w:tc>
        <w:tc>
          <w:tcPr>
            <w:tcW w:w="54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r>
      <w:tr w:rsidR="00A9288A">
        <w:tc>
          <w:tcPr>
            <w:tcW w:w="41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已累计投入募集资金总额</w:t>
            </w:r>
          </w:p>
        </w:tc>
        <w:tc>
          <w:tcPr>
            <w:tcW w:w="54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41,760.42</w:t>
            </w:r>
          </w:p>
        </w:tc>
      </w:tr>
      <w:tr w:rsidR="00A9288A">
        <w:tc>
          <w:tcPr>
            <w:tcW w:w="41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报告期内变更用途的募集资金总额</w:t>
            </w:r>
          </w:p>
        </w:tc>
        <w:tc>
          <w:tcPr>
            <w:tcW w:w="54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r>
      <w:tr w:rsidR="00A9288A">
        <w:tc>
          <w:tcPr>
            <w:tcW w:w="41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累计变更用途的募集资金总额</w:t>
            </w:r>
          </w:p>
        </w:tc>
        <w:tc>
          <w:tcPr>
            <w:tcW w:w="54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566.73</w:t>
            </w:r>
          </w:p>
        </w:tc>
      </w:tr>
      <w:tr w:rsidR="00A9288A">
        <w:tc>
          <w:tcPr>
            <w:tcW w:w="41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累计变更用途的募集资金总额比例</w:t>
            </w:r>
          </w:p>
        </w:tc>
        <w:tc>
          <w:tcPr>
            <w:tcW w:w="54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1.25%</w:t>
            </w:r>
          </w:p>
        </w:tc>
      </w:tr>
      <w:tr w:rsidR="00A9288A">
        <w:tc>
          <w:tcPr>
            <w:tcW w:w="9568"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募集资金总体使用情况说明</w:t>
            </w:r>
          </w:p>
        </w:tc>
      </w:tr>
      <w:tr w:rsidR="00A9288A">
        <w:tc>
          <w:tcPr>
            <w:tcW w:w="956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 xml:space="preserve">2010 </w:t>
            </w:r>
            <w:r>
              <w:rPr>
                <w:rFonts w:hint="eastAsia"/>
              </w:rPr>
              <w:t>年</w:t>
            </w:r>
            <w:r>
              <w:rPr>
                <w:rFonts w:cs="Times New Roman"/>
              </w:rPr>
              <w:t>3</w:t>
            </w:r>
            <w:r>
              <w:rPr>
                <w:rFonts w:hint="eastAsia"/>
              </w:rPr>
              <w:t>月</w:t>
            </w:r>
            <w:r>
              <w:rPr>
                <w:rFonts w:cs="Times New Roman"/>
              </w:rPr>
              <w:t>17</w:t>
            </w:r>
            <w:r>
              <w:rPr>
                <w:rFonts w:hint="eastAsia"/>
              </w:rPr>
              <w:t>日</w:t>
            </w:r>
            <w:r>
              <w:rPr>
                <w:rFonts w:eastAsia="Times New Roman" w:cs="Times New Roman"/>
              </w:rPr>
              <w:t>,</w:t>
            </w:r>
            <w:r>
              <w:rPr>
                <w:rFonts w:hint="eastAsia"/>
              </w:rPr>
              <w:t>本公司经中国证券监督管理委员会证监许可</w:t>
            </w:r>
            <w:r>
              <w:rPr>
                <w:rFonts w:cs="Times New Roman"/>
              </w:rPr>
              <w:t xml:space="preserve">[2010]268 </w:t>
            </w:r>
            <w:r>
              <w:rPr>
                <w:rFonts w:hint="eastAsia"/>
              </w:rPr>
              <w:t>号文批准，首次公开发行</w:t>
            </w:r>
            <w:r>
              <w:rPr>
                <w:rFonts w:cs="Times New Roman"/>
              </w:rPr>
              <w:t>1,385.00</w:t>
            </w:r>
            <w:r>
              <w:rPr>
                <w:rFonts w:hint="eastAsia"/>
              </w:rPr>
              <w:t>万人民币普通股（</w:t>
            </w:r>
            <w:r>
              <w:rPr>
                <w:rFonts w:cs="Times New Roman"/>
              </w:rPr>
              <w:t xml:space="preserve">A </w:t>
            </w:r>
            <w:r>
              <w:rPr>
                <w:rFonts w:hint="eastAsia"/>
              </w:rPr>
              <w:t>股），发行价格为</w:t>
            </w:r>
            <w:r>
              <w:rPr>
                <w:rFonts w:cs="Times New Roman"/>
              </w:rPr>
              <w:t>32.80</w:t>
            </w:r>
            <w:r>
              <w:rPr>
                <w:rFonts w:hint="eastAsia"/>
              </w:rPr>
              <w:t>元</w:t>
            </w:r>
            <w:r>
              <w:rPr>
                <w:rFonts w:cs="Times New Roman"/>
              </w:rPr>
              <w:t>/</w:t>
            </w:r>
            <w:r>
              <w:rPr>
                <w:rFonts w:hint="eastAsia"/>
              </w:rPr>
              <w:t>股，募集资金总额为人民币</w:t>
            </w:r>
            <w:r>
              <w:rPr>
                <w:rFonts w:cs="Times New Roman"/>
              </w:rPr>
              <w:t>45,428.00</w:t>
            </w:r>
            <w:r>
              <w:rPr>
                <w:rFonts w:hint="eastAsia"/>
              </w:rPr>
              <w:t>万元，最终确认的发行费用金额为人民币</w:t>
            </w:r>
            <w:r>
              <w:rPr>
                <w:rFonts w:cs="Times New Roman"/>
              </w:rPr>
              <w:t xml:space="preserve"> 2,853.78</w:t>
            </w:r>
            <w:r>
              <w:rPr>
                <w:rFonts w:hint="eastAsia"/>
              </w:rPr>
              <w:t>万元，最终确定的募集资金净额为人民币</w:t>
            </w:r>
            <w:r>
              <w:rPr>
                <w:rFonts w:cs="Times New Roman"/>
              </w:rPr>
              <w:t>42,574.22</w:t>
            </w:r>
            <w:r>
              <w:rPr>
                <w:rFonts w:hint="eastAsia"/>
              </w:rPr>
              <w:t>万元，公司本年度投入募集资金总额为</w:t>
            </w:r>
            <w:r>
              <w:rPr>
                <w:rFonts w:cs="Times New Roman"/>
              </w:rPr>
              <w:t>470.08</w:t>
            </w:r>
            <w:r>
              <w:rPr>
                <w:rFonts w:hint="eastAsia"/>
              </w:rPr>
              <w:t>万元，为三沙海兰信海洋信息科技有限公司（以下简称</w:t>
            </w:r>
            <w:r>
              <w:rPr>
                <w:rFonts w:cs="Times New Roman"/>
              </w:rPr>
              <w:t>“</w:t>
            </w:r>
            <w:r>
              <w:rPr>
                <w:rFonts w:hint="eastAsia"/>
              </w:rPr>
              <w:t>三沙海兰信</w:t>
            </w:r>
            <w:r>
              <w:rPr>
                <w:rFonts w:cs="Times New Roman"/>
              </w:rPr>
              <w:t>”</w:t>
            </w:r>
            <w:r>
              <w:rPr>
                <w:rFonts w:hint="eastAsia"/>
              </w:rPr>
              <w:t>）支付采购和日常经营费用款。截至</w:t>
            </w:r>
            <w:r>
              <w:rPr>
                <w:rFonts w:cs="Times New Roman"/>
              </w:rPr>
              <w:t>2017</w:t>
            </w:r>
            <w:r>
              <w:rPr>
                <w:rFonts w:hint="eastAsia"/>
              </w:rPr>
              <w:t>年</w:t>
            </w:r>
            <w:r>
              <w:rPr>
                <w:rFonts w:cs="Times New Roman"/>
              </w:rPr>
              <w:t>12</w:t>
            </w:r>
            <w:r>
              <w:rPr>
                <w:rFonts w:hint="eastAsia"/>
              </w:rPr>
              <w:t>月</w:t>
            </w:r>
            <w:r>
              <w:rPr>
                <w:rFonts w:cs="Times New Roman"/>
              </w:rPr>
              <w:t>31</w:t>
            </w:r>
            <w:r>
              <w:rPr>
                <w:rFonts w:hint="eastAsia"/>
              </w:rPr>
              <w:t>日募集资金账户余额为</w:t>
            </w:r>
            <w:r>
              <w:rPr>
                <w:rFonts w:cs="Times New Roman"/>
              </w:rPr>
              <w:t>2,049.72</w:t>
            </w:r>
            <w:r>
              <w:rPr>
                <w:rFonts w:hint="eastAsia"/>
              </w:rPr>
              <w:t>万元（包含利息）。</w:t>
            </w:r>
          </w:p>
        </w:tc>
      </w:tr>
    </w:tbl>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）募集资金承诺项目情况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right"/>
        <w:rPr>
          <w:rFonts w:eastAsia="Times New Roman" w:cs="Times New Roman"/>
        </w:rPr>
      </w:pPr>
      <w:r>
        <w:rPr>
          <w:rFonts w:hint="eastAsia"/>
        </w:rPr>
        <w:t>单位：万元</w:t>
      </w:r>
    </w:p>
    <w:tbl>
      <w:tblPr>
        <w:tblW w:w="0" w:type="auto"/>
        <w:tblLayout w:type="fixed"/>
        <w:tblCellMar>
          <w:left w:w="28" w:type="dxa"/>
          <w:right w:w="28" w:type="dxa"/>
        </w:tblCellMar>
        <w:tblLook w:val="0000" w:firstRow="0" w:lastRow="0" w:firstColumn="0" w:lastColumn="0" w:noHBand="0" w:noVBand="0"/>
      </w:tblPr>
      <w:tblGrid>
        <w:gridCol w:w="1633"/>
        <w:gridCol w:w="708"/>
        <w:gridCol w:w="776"/>
        <w:gridCol w:w="776"/>
        <w:gridCol w:w="706"/>
        <w:gridCol w:w="776"/>
        <w:gridCol w:w="708"/>
        <w:gridCol w:w="708"/>
        <w:gridCol w:w="709"/>
        <w:gridCol w:w="776"/>
        <w:gridCol w:w="709"/>
        <w:gridCol w:w="709"/>
      </w:tblGrid>
      <w:tr w:rsidR="00A9288A">
        <w:tc>
          <w:tcPr>
            <w:tcW w:w="163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承诺投资项目和超募资金投向</w:t>
            </w:r>
          </w:p>
        </w:tc>
        <w:tc>
          <w:tcPr>
            <w:tcW w:w="70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cs="Times New Roman"/>
              </w:rPr>
            </w:pPr>
            <w:r>
              <w:rPr>
                <w:rFonts w:hint="eastAsia"/>
              </w:rPr>
              <w:t>是否已变更项目</w:t>
            </w:r>
            <w:r>
              <w:rPr>
                <w:rFonts w:cs="Times New Roman"/>
              </w:rPr>
              <w:t>(</w:t>
            </w:r>
            <w:r>
              <w:rPr>
                <w:rFonts w:hint="eastAsia"/>
              </w:rPr>
              <w:t>含部分变更</w:t>
            </w:r>
            <w:r>
              <w:rPr>
                <w:rFonts w:cs="Times New Roman"/>
              </w:rPr>
              <w:t>)</w:t>
            </w:r>
          </w:p>
        </w:tc>
        <w:tc>
          <w:tcPr>
            <w:tcW w:w="77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募集资金承诺投资总额</w:t>
            </w:r>
          </w:p>
        </w:tc>
        <w:tc>
          <w:tcPr>
            <w:tcW w:w="77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cs="Times New Roman"/>
              </w:rPr>
            </w:pPr>
            <w:r>
              <w:rPr>
                <w:rFonts w:hint="eastAsia"/>
              </w:rPr>
              <w:t>调整后投资总额</w:t>
            </w:r>
            <w:r>
              <w:rPr>
                <w:rFonts w:cs="Times New Roman"/>
              </w:rPr>
              <w:t>(1)</w:t>
            </w:r>
          </w:p>
        </w:tc>
        <w:tc>
          <w:tcPr>
            <w:tcW w:w="70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本报告期投入金额</w:t>
            </w:r>
          </w:p>
        </w:tc>
        <w:tc>
          <w:tcPr>
            <w:tcW w:w="77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cs="Times New Roman"/>
              </w:rPr>
            </w:pPr>
            <w:r>
              <w:rPr>
                <w:rFonts w:hint="eastAsia"/>
              </w:rPr>
              <w:t>截至期末累计投入金额</w:t>
            </w:r>
            <w:r>
              <w:rPr>
                <w:rFonts w:cs="Times New Roman"/>
              </w:rPr>
              <w:t>(2)</w:t>
            </w:r>
          </w:p>
        </w:tc>
        <w:tc>
          <w:tcPr>
            <w:tcW w:w="70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cs="Times New Roman"/>
              </w:rPr>
            </w:pPr>
            <w:r>
              <w:rPr>
                <w:rFonts w:hint="eastAsia"/>
              </w:rPr>
              <w:t>截至期末投资进度</w:t>
            </w:r>
            <w:r>
              <w:rPr>
                <w:rFonts w:cs="Times New Roman"/>
              </w:rPr>
              <w:t>(3)</w:t>
            </w:r>
            <w:r>
              <w:rPr>
                <w:rFonts w:hint="eastAsia"/>
              </w:rPr>
              <w:t>＝</w:t>
            </w:r>
            <w:r>
              <w:rPr>
                <w:rFonts w:cs="Times New Roman"/>
              </w:rPr>
              <w:t>(2)/(1)</w:t>
            </w:r>
          </w:p>
        </w:tc>
        <w:tc>
          <w:tcPr>
            <w:tcW w:w="70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项目达到预定可使用状态日期</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本报告期实现的效益</w:t>
            </w:r>
          </w:p>
        </w:tc>
        <w:tc>
          <w:tcPr>
            <w:tcW w:w="77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截止报告期末累计实现的效益</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是否达到预计效益</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项目可行性是否发生重大变化</w:t>
            </w:r>
          </w:p>
        </w:tc>
      </w:tr>
      <w:tr w:rsidR="00A9288A">
        <w:tc>
          <w:tcPr>
            <w:tcW w:w="9694" w:type="dxa"/>
            <w:gridSpan w:val="1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承诺投资项目</w:t>
            </w:r>
          </w:p>
        </w:tc>
      </w:tr>
      <w:tr w:rsidR="00A9288A">
        <w:tc>
          <w:tcPr>
            <w:tcW w:w="16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 xml:space="preserve">VMS </w:t>
            </w:r>
            <w:r>
              <w:rPr>
                <w:rFonts w:hint="eastAsia"/>
              </w:rPr>
              <w:t>产业化项目</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2,478.88</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1,620.72</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1,620.72</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2012</w:t>
            </w:r>
            <w:r>
              <w:rPr>
                <w:rFonts w:hint="eastAsia"/>
              </w:rPr>
              <w:t>年</w:t>
            </w:r>
            <w:r>
              <w:rPr>
                <w:rFonts w:cs="Times New Roman"/>
              </w:rPr>
              <w:t>01</w:t>
            </w:r>
            <w:r>
              <w:rPr>
                <w:rFonts w:hint="eastAsia"/>
              </w:rPr>
              <w:t>月</w:t>
            </w:r>
            <w:r>
              <w:rPr>
                <w:rFonts w:cs="Times New Roman"/>
              </w:rPr>
              <w:t>13</w:t>
            </w:r>
            <w:r>
              <w:rPr>
                <w:rFonts w:hint="eastAsia"/>
              </w:rPr>
              <w:t>日</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2,488.16</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9,875.13</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是</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r>
      <w:tr w:rsidR="00A9288A">
        <w:tc>
          <w:tcPr>
            <w:tcW w:w="16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 xml:space="preserve">SCS </w:t>
            </w:r>
            <w:r>
              <w:rPr>
                <w:rFonts w:hint="eastAsia"/>
              </w:rPr>
              <w:t>生产线建设项目</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4,734.82</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2,630.37</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2,630.37</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2012</w:t>
            </w:r>
            <w:r>
              <w:rPr>
                <w:rFonts w:hint="eastAsia"/>
              </w:rPr>
              <w:t>年</w:t>
            </w:r>
            <w:r>
              <w:rPr>
                <w:rFonts w:cs="Times New Roman"/>
              </w:rPr>
              <w:t>01</w:t>
            </w:r>
            <w:r>
              <w:rPr>
                <w:rFonts w:hint="eastAsia"/>
              </w:rPr>
              <w:t>月</w:t>
            </w:r>
            <w:r>
              <w:rPr>
                <w:rFonts w:cs="Times New Roman"/>
              </w:rPr>
              <w:t>13</w:t>
            </w:r>
            <w:r>
              <w:rPr>
                <w:rFonts w:hint="eastAsia"/>
              </w:rPr>
              <w:t>日</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453.43</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6,601.12</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是</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r>
      <w:tr w:rsidR="00A9288A">
        <w:tc>
          <w:tcPr>
            <w:tcW w:w="16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研发中心扩建项目</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1,793.45</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1,245.33</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1,245.33</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2012</w:t>
            </w:r>
            <w:r>
              <w:rPr>
                <w:rFonts w:hint="eastAsia"/>
              </w:rPr>
              <w:t>年</w:t>
            </w:r>
            <w:r>
              <w:rPr>
                <w:rFonts w:cs="Times New Roman"/>
              </w:rPr>
              <w:t>01</w:t>
            </w:r>
            <w:r>
              <w:rPr>
                <w:rFonts w:hint="eastAsia"/>
              </w:rPr>
              <w:t>月</w:t>
            </w:r>
            <w:r>
              <w:rPr>
                <w:rFonts w:cs="Times New Roman"/>
              </w:rPr>
              <w:t>13</w:t>
            </w:r>
            <w:r>
              <w:rPr>
                <w:rFonts w:hint="eastAsia"/>
              </w:rPr>
              <w:t>日</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不适用</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r>
      <w:tr w:rsidR="00A9288A">
        <w:tc>
          <w:tcPr>
            <w:tcW w:w="16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募投节余募集资金</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3,510.73</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3,510.73</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不适用</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r>
      <w:tr w:rsidR="00A9288A">
        <w:tc>
          <w:tcPr>
            <w:tcW w:w="163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承诺投资项目小计</w:t>
            </w:r>
          </w:p>
        </w:tc>
        <w:tc>
          <w:tcPr>
            <w:tcW w:w="70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9,007.15</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9,007.15</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9,007.15</w:t>
            </w:r>
          </w:p>
        </w:tc>
        <w:tc>
          <w:tcPr>
            <w:tcW w:w="70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70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2,941.59</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16,476.25</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r>
      <w:tr w:rsidR="00A9288A">
        <w:tc>
          <w:tcPr>
            <w:tcW w:w="9694" w:type="dxa"/>
            <w:gridSpan w:val="1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超募资金投向</w:t>
            </w:r>
          </w:p>
        </w:tc>
      </w:tr>
      <w:tr w:rsidR="00A9288A">
        <w:tc>
          <w:tcPr>
            <w:tcW w:w="16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lastRenderedPageBreak/>
              <w:t>江苏海兰项目</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5,000</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5,000</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5,000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2012</w:t>
            </w:r>
            <w:r>
              <w:rPr>
                <w:rFonts w:hint="eastAsia"/>
              </w:rPr>
              <w:t>年</w:t>
            </w:r>
            <w:r>
              <w:rPr>
                <w:rFonts w:cs="Times New Roman"/>
              </w:rPr>
              <w:t>01</w:t>
            </w:r>
            <w:r>
              <w:rPr>
                <w:rFonts w:hint="eastAsia"/>
              </w:rPr>
              <w:t>月</w:t>
            </w:r>
            <w:r>
              <w:rPr>
                <w:rFonts w:cs="Times New Roman"/>
              </w:rPr>
              <w:t>31</w:t>
            </w:r>
            <w:r>
              <w:rPr>
                <w:rFonts w:hint="eastAsia"/>
              </w:rPr>
              <w:t>日</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294.36</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2,377.76</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r>
      <w:tr w:rsidR="00A9288A">
        <w:tc>
          <w:tcPr>
            <w:tcW w:w="16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投资京能项目</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3,500</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3,500</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3,500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2011</w:t>
            </w:r>
            <w:r>
              <w:rPr>
                <w:rFonts w:hint="eastAsia"/>
              </w:rPr>
              <w:t>年</w:t>
            </w:r>
            <w:r>
              <w:rPr>
                <w:rFonts w:cs="Times New Roman"/>
              </w:rPr>
              <w:t>11</w:t>
            </w:r>
            <w:r>
              <w:rPr>
                <w:rFonts w:hint="eastAsia"/>
              </w:rPr>
              <w:t>月</w:t>
            </w:r>
            <w:r>
              <w:rPr>
                <w:rFonts w:cs="Times New Roman"/>
              </w:rPr>
              <w:t>09</w:t>
            </w:r>
            <w:r>
              <w:rPr>
                <w:rFonts w:hint="eastAsia"/>
              </w:rPr>
              <w:t>日</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1,329.19</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r>
      <w:tr w:rsidR="00A9288A">
        <w:tc>
          <w:tcPr>
            <w:tcW w:w="16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归还银行贷款</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不适用</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r>
      <w:tr w:rsidR="00A9288A">
        <w:tc>
          <w:tcPr>
            <w:tcW w:w="16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三沙项目</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5,000</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5,000</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5,000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2015</w:t>
            </w:r>
            <w:r>
              <w:rPr>
                <w:rFonts w:hint="eastAsia"/>
              </w:rPr>
              <w:t>年</w:t>
            </w:r>
            <w:r>
              <w:rPr>
                <w:rFonts w:cs="Times New Roman"/>
              </w:rPr>
              <w:t>07</w:t>
            </w:r>
            <w:r>
              <w:rPr>
                <w:rFonts w:hint="eastAsia"/>
              </w:rPr>
              <w:t>月</w:t>
            </w:r>
            <w:r>
              <w:rPr>
                <w:rFonts w:cs="Times New Roman"/>
              </w:rPr>
              <w:t>31</w:t>
            </w:r>
            <w:r>
              <w:rPr>
                <w:rFonts w:hint="eastAsia"/>
              </w:rPr>
              <w:t>日</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436.56</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70.92</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r>
      <w:tr w:rsidR="00A9288A">
        <w:tc>
          <w:tcPr>
            <w:tcW w:w="16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江苏欧泰项目</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1,020</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453.27</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453.27</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2013</w:t>
            </w:r>
            <w:r>
              <w:rPr>
                <w:rFonts w:hint="eastAsia"/>
              </w:rPr>
              <w:t>年</w:t>
            </w:r>
            <w:r>
              <w:rPr>
                <w:rFonts w:cs="Times New Roman"/>
              </w:rPr>
              <w:t>12</w:t>
            </w:r>
            <w:r>
              <w:rPr>
                <w:rFonts w:hint="eastAsia"/>
              </w:rPr>
              <w:t>月</w:t>
            </w:r>
            <w:r>
              <w:rPr>
                <w:rFonts w:cs="Times New Roman"/>
              </w:rPr>
              <w:t>31</w:t>
            </w:r>
            <w:r>
              <w:rPr>
                <w:rFonts w:hint="eastAsia"/>
              </w:rPr>
              <w:t>日</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-63.56</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是</w:t>
            </w:r>
          </w:p>
        </w:tc>
      </w:tr>
      <w:tr w:rsidR="00A9288A">
        <w:tc>
          <w:tcPr>
            <w:tcW w:w="16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补充流动资金</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23,250.19</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17,800</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17,800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不适用</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r>
      <w:tr w:rsidR="00A9288A">
        <w:tc>
          <w:tcPr>
            <w:tcW w:w="163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超募资金投向小计</w:t>
            </w:r>
          </w:p>
        </w:tc>
        <w:tc>
          <w:tcPr>
            <w:tcW w:w="70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38,770.19</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32,753.27</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32,753.27</w:t>
            </w:r>
          </w:p>
        </w:tc>
        <w:tc>
          <w:tcPr>
            <w:tcW w:w="70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70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730.92</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3,714.31</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r>
      <w:tr w:rsidR="00A9288A">
        <w:tc>
          <w:tcPr>
            <w:tcW w:w="163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70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47,777.34</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41,760.42</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41,760.42</w:t>
            </w:r>
          </w:p>
        </w:tc>
        <w:tc>
          <w:tcPr>
            <w:tcW w:w="70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70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3,672.51</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20,190.56</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r>
      <w:tr w:rsidR="00A9288A">
        <w:tc>
          <w:tcPr>
            <w:tcW w:w="163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未达到计划进度或预计收益的情况和原因（分具体项目）</w:t>
            </w:r>
          </w:p>
        </w:tc>
        <w:tc>
          <w:tcPr>
            <w:tcW w:w="8061" w:type="dxa"/>
            <w:gridSpan w:val="11"/>
            <w:tcBorders>
              <w:top w:val="single" w:sz="4" w:space="0" w:color="auto"/>
              <w:left w:val="single" w:sz="4" w:space="0" w:color="auto"/>
              <w:bottom w:val="single" w:sz="4" w:space="0" w:color="auto"/>
              <w:right w:val="single" w:sz="4" w:space="0" w:color="auto"/>
            </w:tcBorders>
            <w:shd w:val="clear" w:color="auto" w:fill="FFFFFF"/>
          </w:tcPr>
          <w:p w:rsidR="00A9288A" w:rsidRDefault="007A4434">
            <w:pPr>
              <w:spacing w:after="120" w:line="400" w:lineRule="exact"/>
              <w:ind w:firstLine="360"/>
            </w:pPr>
            <w:r>
              <w:rPr>
                <w:rFonts w:ascii="宋体" w:hAnsi="宋体"/>
              </w:rPr>
              <w:t xml:space="preserve">  1</w:t>
            </w:r>
            <w:r>
              <w:rPr>
                <w:rFonts w:ascii="宋体" w:hAnsi="宋体" w:hint="eastAsia"/>
              </w:rPr>
              <w:t>、江苏海兰项目：未达预计效益，主要受到海事业务所处行业的周期性影响，新造船订单减少、海事集成业务的毛利率降低和公司出于主动的业务选择放弃部分毛利率低的业务，对江苏海兰集成业务的快速扩展造成一定压力。</w:t>
            </w:r>
            <w:r>
              <w:rPr>
                <w:rFonts w:ascii="宋体" w:hAnsi="宋体"/>
              </w:rPr>
              <w:t>2017</w:t>
            </w:r>
            <w:r>
              <w:rPr>
                <w:rFonts w:ascii="宋体" w:hAnsi="宋体" w:hint="eastAsia"/>
              </w:rPr>
              <w:t>年我国造船完工量、新接订单量、手持订单量分别占全球总量的</w:t>
            </w:r>
            <w:r>
              <w:rPr>
                <w:rFonts w:ascii="宋体" w:hAnsi="宋体"/>
              </w:rPr>
              <w:t>41.9%</w:t>
            </w:r>
            <w:r>
              <w:rPr>
                <w:rFonts w:ascii="宋体" w:hAnsi="宋体" w:hint="eastAsia"/>
              </w:rPr>
              <w:t>、</w:t>
            </w:r>
            <w:r>
              <w:rPr>
                <w:rFonts w:ascii="宋体" w:hAnsi="宋体"/>
              </w:rPr>
              <w:t>45.5%</w:t>
            </w:r>
            <w:r>
              <w:rPr>
                <w:rFonts w:ascii="宋体" w:hAnsi="宋体" w:hint="eastAsia"/>
              </w:rPr>
              <w:t>和</w:t>
            </w:r>
            <w:r>
              <w:rPr>
                <w:rFonts w:ascii="宋体" w:hAnsi="宋体"/>
              </w:rPr>
              <w:t>44.6%</w:t>
            </w:r>
            <w:r>
              <w:rPr>
                <w:rFonts w:ascii="宋体" w:hAnsi="宋体" w:hint="eastAsia"/>
              </w:rPr>
              <w:t>，造船三大指标国际市场份额均位居世界第一。</w:t>
            </w:r>
            <w:r>
              <w:rPr>
                <w:rFonts w:ascii="宋体" w:hAnsi="宋体"/>
              </w:rPr>
              <w:t>2018</w:t>
            </w:r>
            <w:r>
              <w:rPr>
                <w:rFonts w:ascii="宋体" w:hAnsi="宋体" w:hint="eastAsia"/>
              </w:rPr>
              <w:t>年，全球经济发展将趋于稳健，航运市场虽然仍在底部震荡后期有望稳中向好。国际海运需求略有增长，老旧船舶不断淘汰，过剩运力将进一步消化和吸收，新船市场有望继续保持活跃，短期来看，“接单难”和“交付难”问题将适度缓解；另一方面，国内外行业代表如中远海、中船集团、招商、马士基等高度重视新技术在智能船以及智慧航运方面的应用，船舶及航运智能化趋势已经成为行业共识。海兰信作为国家智能船专项的主要承担单位之一、中国智能船舶创新联盟的副理事长单位，多年持续研发形成“船舶自主导航、全船信息集成平台”两个关键智能子系统方面的技术、产品积累，具有一定的先发优势。今年将实现</w:t>
            </w:r>
            <w:r>
              <w:rPr>
                <w:rFonts w:ascii="宋体" w:hAnsi="宋体"/>
              </w:rPr>
              <w:t>CCS</w:t>
            </w:r>
            <w:r>
              <w:rPr>
                <w:rFonts w:ascii="宋体" w:hAnsi="宋体" w:hint="eastAsia"/>
              </w:rPr>
              <w:t>船级社</w:t>
            </w:r>
            <w:r>
              <w:rPr>
                <w:rFonts w:ascii="宋体" w:hAnsi="宋体"/>
              </w:rPr>
              <w:t>i-ship</w:t>
            </w:r>
            <w:r>
              <w:rPr>
                <w:rFonts w:ascii="宋体" w:hAnsi="宋体" w:hint="eastAsia"/>
              </w:rPr>
              <w:t>智能船规范中的</w:t>
            </w:r>
            <w:r>
              <w:rPr>
                <w:rFonts w:ascii="宋体" w:hAnsi="宋体"/>
              </w:rPr>
              <w:t>N</w:t>
            </w:r>
            <w:r>
              <w:rPr>
                <w:rFonts w:ascii="宋体" w:hAnsi="宋体" w:hint="eastAsia"/>
              </w:rPr>
              <w:t>、</w:t>
            </w:r>
            <w:r>
              <w:rPr>
                <w:rFonts w:ascii="宋体" w:hAnsi="宋体"/>
              </w:rPr>
              <w:t>M</w:t>
            </w:r>
            <w:r>
              <w:rPr>
                <w:rFonts w:ascii="宋体" w:hAnsi="宋体" w:hint="eastAsia"/>
              </w:rPr>
              <w:t>、</w:t>
            </w:r>
            <w:r>
              <w:rPr>
                <w:rFonts w:ascii="宋体" w:hAnsi="宋体"/>
              </w:rPr>
              <w:t>E</w:t>
            </w:r>
            <w:r>
              <w:rPr>
                <w:rFonts w:ascii="宋体" w:hAnsi="宋体" w:hint="eastAsia"/>
              </w:rPr>
              <w:t>、</w:t>
            </w:r>
            <w:r>
              <w:rPr>
                <w:rFonts w:ascii="宋体" w:hAnsi="宋体"/>
              </w:rPr>
              <w:t>I</w:t>
            </w:r>
            <w:r>
              <w:rPr>
                <w:rFonts w:ascii="宋体" w:hAnsi="宋体" w:hint="eastAsia"/>
              </w:rPr>
              <w:t>等核心智能功能的型式认可，并将在</w:t>
            </w:r>
            <w:r>
              <w:rPr>
                <w:rFonts w:ascii="宋体" w:hAnsi="宋体"/>
              </w:rPr>
              <w:t>10</w:t>
            </w:r>
            <w:r>
              <w:rPr>
                <w:rFonts w:ascii="宋体" w:hAnsi="宋体" w:hint="eastAsia"/>
              </w:rPr>
              <w:t>月底的招商</w:t>
            </w:r>
            <w:r>
              <w:rPr>
                <w:rFonts w:ascii="宋体" w:hAnsi="宋体"/>
              </w:rPr>
              <w:t>40</w:t>
            </w:r>
            <w:r>
              <w:rPr>
                <w:rFonts w:ascii="宋体" w:hAnsi="宋体" w:hint="eastAsia"/>
              </w:rPr>
              <w:t>万吨</w:t>
            </w:r>
            <w:r>
              <w:rPr>
                <w:rFonts w:ascii="宋体" w:hAnsi="宋体"/>
              </w:rPr>
              <w:t>VLOC</w:t>
            </w:r>
            <w:r>
              <w:rPr>
                <w:rFonts w:ascii="宋体" w:hAnsi="宋体" w:hint="eastAsia"/>
              </w:rPr>
              <w:t>智能船上首先投入实船应用。</w:t>
            </w:r>
            <w:r>
              <w:rPr>
                <w:rFonts w:ascii="宋体" w:hAnsi="宋体"/>
              </w:rPr>
              <w:t>2018</w:t>
            </w:r>
            <w:r>
              <w:rPr>
                <w:rFonts w:ascii="宋体" w:hAnsi="宋体" w:hint="eastAsia"/>
              </w:rPr>
              <w:t>年</w:t>
            </w:r>
            <w:r>
              <w:rPr>
                <w:rFonts w:ascii="宋体" w:hAnsi="宋体"/>
              </w:rPr>
              <w:t>3</w:t>
            </w:r>
            <w:r>
              <w:rPr>
                <w:rFonts w:ascii="宋体" w:hAnsi="宋体" w:hint="eastAsia"/>
              </w:rPr>
              <w:t>月公司与扬子江船业签署协议，扬子江船业承诺从</w:t>
            </w:r>
            <w:r>
              <w:rPr>
                <w:rFonts w:ascii="宋体" w:hAnsi="宋体"/>
              </w:rPr>
              <w:t>2018</w:t>
            </w:r>
            <w:r>
              <w:rPr>
                <w:rFonts w:ascii="宋体" w:hAnsi="宋体" w:hint="eastAsia"/>
              </w:rPr>
              <w:t>年起，未来三年，在扬子江船业建造的船舶中优先选用海兰信的智能化装备。智能船的成功示范应用将为公司集成化业务开拓与市场扩大带来衍生效应。因此为了更好的发挥集团内资源协同整合效应，公司</w:t>
            </w:r>
            <w:r>
              <w:rPr>
                <w:rFonts w:ascii="宋体" w:hAnsi="宋体"/>
              </w:rPr>
              <w:t>2017</w:t>
            </w:r>
            <w:r>
              <w:rPr>
                <w:rFonts w:ascii="宋体" w:hAnsi="宋体" w:hint="eastAsia"/>
              </w:rPr>
              <w:t>年现金收购江苏海兰剩余股东的少数股权，</w:t>
            </w:r>
            <w:r>
              <w:rPr>
                <w:rFonts w:ascii="宋体" w:hAnsi="宋体"/>
              </w:rPr>
              <w:t xml:space="preserve"> 2017</w:t>
            </w:r>
            <w:r>
              <w:rPr>
                <w:rFonts w:ascii="宋体" w:hAnsi="宋体" w:hint="eastAsia"/>
              </w:rPr>
              <w:t>年</w:t>
            </w:r>
            <w:r>
              <w:rPr>
                <w:rFonts w:ascii="宋体" w:hAnsi="宋体"/>
              </w:rPr>
              <w:t>8</w:t>
            </w:r>
            <w:r>
              <w:rPr>
                <w:rFonts w:ascii="宋体" w:hAnsi="宋体" w:hint="eastAsia"/>
              </w:rPr>
              <w:t>月，江苏海兰成为公司全资子公司，后续通过管理团队与技术、市场资源与公司全面对接整合，有助于持续强化江苏海兰系统集成商品牌，随着船舶航运市场复苏有望尽快达成项目预期效益。本报告期内经营效益同比去年保持稳定。</w:t>
            </w:r>
          </w:p>
          <w:p w:rsidR="00A9288A" w:rsidRDefault="007A4434">
            <w:pPr>
              <w:spacing w:after="120" w:line="400" w:lineRule="exact"/>
              <w:ind w:firstLine="360"/>
            </w:pPr>
            <w:r>
              <w:rPr>
                <w:rFonts w:ascii="宋体" w:hAnsi="宋体"/>
              </w:rPr>
              <w:t>2</w:t>
            </w:r>
            <w:r>
              <w:rPr>
                <w:rFonts w:ascii="宋体" w:hAnsi="宋体" w:hint="eastAsia"/>
              </w:rPr>
              <w:t>、三沙项目：未达预期效益，主要因当地项目落实节奏晚于预期，本报告期内受益于国家海南战略实施，海洋业务收入与利润都有大幅增长。党的十九大报告明确指出“坚持陆海统筹，加快建设海洋强国”，国家在海洋业务领域密集出台一系列的相关政策和法律法规，如</w:t>
            </w:r>
            <w:r>
              <w:rPr>
                <w:rFonts w:ascii="宋体" w:hAnsi="宋体"/>
              </w:rPr>
              <w:t xml:space="preserve">21 </w:t>
            </w:r>
            <w:r>
              <w:rPr>
                <w:rFonts w:ascii="宋体" w:hAnsi="宋体" w:hint="eastAsia"/>
              </w:rPr>
              <w:t>世纪海上丝绸之路、“十</w:t>
            </w:r>
            <w:r>
              <w:rPr>
                <w:rFonts w:ascii="宋体" w:hAnsi="宋体" w:hint="eastAsia"/>
              </w:rPr>
              <w:lastRenderedPageBreak/>
              <w:t>三五”规划、全国海洋观测网规划（</w:t>
            </w:r>
            <w:r>
              <w:rPr>
                <w:rFonts w:ascii="宋体" w:hAnsi="宋体"/>
              </w:rPr>
              <w:t xml:space="preserve">2014-2020 </w:t>
            </w:r>
            <w:r>
              <w:rPr>
                <w:rFonts w:ascii="宋体" w:hAnsi="宋体" w:hint="eastAsia"/>
              </w:rPr>
              <w:t>年）等等，海洋调查等一系列重大海洋专项活动实质性工作启动在即。</w:t>
            </w:r>
            <w:r>
              <w:rPr>
                <w:rFonts w:ascii="宋体" w:hAnsi="宋体"/>
              </w:rPr>
              <w:t>2017</w:t>
            </w:r>
            <w:r>
              <w:rPr>
                <w:rFonts w:ascii="宋体" w:hAnsi="宋体" w:hint="eastAsia"/>
              </w:rPr>
              <w:t>年</w:t>
            </w:r>
            <w:r>
              <w:rPr>
                <w:rFonts w:ascii="宋体" w:hAnsi="宋体"/>
              </w:rPr>
              <w:t>5</w:t>
            </w:r>
            <w:r>
              <w:rPr>
                <w:rFonts w:ascii="宋体" w:hAnsi="宋体" w:hint="eastAsia"/>
              </w:rPr>
              <w:t>月，中国国家海底科学观测网正式被批复建立，项目总投资超</w:t>
            </w:r>
            <w:r>
              <w:rPr>
                <w:rFonts w:ascii="宋体" w:hAnsi="宋体"/>
              </w:rPr>
              <w:t>20</w:t>
            </w:r>
            <w:r>
              <w:rPr>
                <w:rFonts w:ascii="宋体" w:hAnsi="宋体" w:hint="eastAsia"/>
              </w:rPr>
              <w:t>亿元，建设周期五年。将在我国东海和南海分别建立海底观测系统，实现中国东海和南海从海底向海面的全天候、我国水下监测系统模型实时和高分辨率的多界面立体综合观测，三沙市作为我国南海的重要防御地带，以及“一带一路”重要支点，海洋业务领域市场需求强劲，将面临重要机遇。</w:t>
            </w:r>
          </w:p>
        </w:tc>
      </w:tr>
      <w:tr w:rsidR="00A9288A">
        <w:tc>
          <w:tcPr>
            <w:tcW w:w="163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lastRenderedPageBreak/>
              <w:t>项目可行性发生重大变化的情况说明</w:t>
            </w:r>
          </w:p>
        </w:tc>
        <w:tc>
          <w:tcPr>
            <w:tcW w:w="8061" w:type="dxa"/>
            <w:gridSpan w:val="11"/>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本期无项目可行性发生重大变化的情况。</w:t>
            </w:r>
          </w:p>
        </w:tc>
      </w:tr>
      <w:tr w:rsidR="00A9288A">
        <w:tc>
          <w:tcPr>
            <w:tcW w:w="163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超募资金的金额、用途及使用进展情况</w:t>
            </w:r>
          </w:p>
        </w:tc>
        <w:tc>
          <w:tcPr>
            <w:tcW w:w="8061" w:type="dxa"/>
            <w:gridSpan w:val="11"/>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适用</w:t>
            </w:r>
          </w:p>
        </w:tc>
      </w:tr>
      <w:tr w:rsidR="00A9288A">
        <w:tc>
          <w:tcPr>
            <w:tcW w:w="1633"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left"/>
              <w:rPr>
                <w:rFonts w:eastAsia="Times New Roman" w:cs="Times New Roman"/>
              </w:rPr>
            </w:pPr>
          </w:p>
        </w:tc>
        <w:tc>
          <w:tcPr>
            <w:tcW w:w="8061" w:type="dxa"/>
            <w:gridSpan w:val="11"/>
            <w:tcBorders>
              <w:top w:val="single" w:sz="4" w:space="0" w:color="auto"/>
              <w:left w:val="single" w:sz="4" w:space="0" w:color="auto"/>
              <w:bottom w:val="single" w:sz="4" w:space="0" w:color="auto"/>
              <w:right w:val="single" w:sz="4" w:space="0" w:color="auto"/>
            </w:tcBorders>
          </w:tcPr>
          <w:p w:rsidR="00A9288A" w:rsidRDefault="007A4434">
            <w:pPr>
              <w:spacing w:before="0" w:after="0" w:line="400" w:lineRule="exact"/>
              <w:ind w:firstLine="357"/>
            </w:pPr>
            <w:r>
              <w:rPr>
                <w:rFonts w:ascii="宋体" w:hAnsi="宋体" w:hint="eastAsia"/>
              </w:rPr>
              <w:t>公司上市募集超募资金总额为</w:t>
            </w:r>
            <w:r>
              <w:rPr>
                <w:rFonts w:ascii="宋体" w:hAnsi="宋体"/>
              </w:rPr>
              <w:t>33,567.07</w:t>
            </w:r>
            <w:r>
              <w:rPr>
                <w:rFonts w:ascii="宋体" w:hAnsi="宋体" w:hint="eastAsia"/>
              </w:rPr>
              <w:t>万元。</w:t>
            </w:r>
          </w:p>
          <w:p w:rsidR="00A9288A" w:rsidRDefault="007A4434">
            <w:pPr>
              <w:spacing w:before="0" w:after="0" w:line="400" w:lineRule="exact"/>
              <w:ind w:firstLine="357"/>
            </w:pPr>
            <w:r>
              <w:rPr>
                <w:rFonts w:ascii="宋体" w:hAnsi="宋体"/>
              </w:rPr>
              <w:t>1</w:t>
            </w:r>
            <w:r>
              <w:rPr>
                <w:rFonts w:ascii="宋体" w:hAnsi="宋体" w:hint="eastAsia"/>
              </w:rPr>
              <w:t>、</w:t>
            </w:r>
            <w:r>
              <w:rPr>
                <w:rFonts w:ascii="宋体" w:hAnsi="宋体"/>
              </w:rPr>
              <w:t>2010</w:t>
            </w:r>
            <w:r>
              <w:rPr>
                <w:rFonts w:ascii="宋体" w:hAnsi="宋体" w:hint="eastAsia"/>
              </w:rPr>
              <w:t>年</w:t>
            </w:r>
            <w:r>
              <w:rPr>
                <w:rFonts w:ascii="宋体" w:hAnsi="宋体"/>
              </w:rPr>
              <w:t>4</w:t>
            </w:r>
            <w:r>
              <w:rPr>
                <w:rFonts w:ascii="宋体" w:hAnsi="宋体" w:hint="eastAsia"/>
              </w:rPr>
              <w:t>月</w:t>
            </w:r>
            <w:r>
              <w:rPr>
                <w:rFonts w:ascii="宋体" w:hAnsi="宋体"/>
              </w:rPr>
              <w:t>26</w:t>
            </w:r>
            <w:r>
              <w:rPr>
                <w:rFonts w:ascii="宋体" w:hAnsi="宋体" w:hint="eastAsia"/>
              </w:rPr>
              <w:t>日，公司第一届董事会第十五次会议审议通过《关于募集资金使用计划的议案》，同意公司使用</w:t>
            </w:r>
            <w:r>
              <w:rPr>
                <w:rFonts w:ascii="宋体" w:hAnsi="宋体"/>
              </w:rPr>
              <w:t>4,800</w:t>
            </w:r>
            <w:r>
              <w:rPr>
                <w:rFonts w:ascii="宋体" w:hAnsi="宋体" w:hint="eastAsia"/>
              </w:rPr>
              <w:t>万元其他与主营业务相关的募集资金永久补充流动资金，使用</w:t>
            </w:r>
            <w:r>
              <w:rPr>
                <w:rFonts w:ascii="宋体" w:hAnsi="宋体"/>
              </w:rPr>
              <w:t>1,000</w:t>
            </w:r>
            <w:r>
              <w:rPr>
                <w:rFonts w:ascii="宋体" w:hAnsi="宋体" w:hint="eastAsia"/>
              </w:rPr>
              <w:t>万元其他与主营业务相关的募集资金偿还银行贷款。该事项已经独立董事、保荐机构发表了同意意见。公司于</w:t>
            </w:r>
            <w:r>
              <w:rPr>
                <w:rFonts w:ascii="宋体" w:hAnsi="宋体"/>
              </w:rPr>
              <w:t>2010</w:t>
            </w:r>
            <w:r>
              <w:rPr>
                <w:rFonts w:ascii="宋体" w:hAnsi="宋体" w:hint="eastAsia"/>
              </w:rPr>
              <w:t>年</w:t>
            </w:r>
            <w:r>
              <w:rPr>
                <w:rFonts w:ascii="宋体" w:hAnsi="宋体"/>
              </w:rPr>
              <w:t>5</w:t>
            </w:r>
            <w:r>
              <w:rPr>
                <w:rFonts w:ascii="宋体" w:hAnsi="宋体" w:hint="eastAsia"/>
              </w:rPr>
              <w:t>月</w:t>
            </w:r>
            <w:r>
              <w:rPr>
                <w:rFonts w:ascii="宋体" w:hAnsi="宋体"/>
              </w:rPr>
              <w:t>5</w:t>
            </w:r>
            <w:r>
              <w:rPr>
                <w:rFonts w:ascii="宋体" w:hAnsi="宋体" w:hint="eastAsia"/>
              </w:rPr>
              <w:t>日使用了</w:t>
            </w:r>
            <w:r>
              <w:rPr>
                <w:rFonts w:ascii="宋体" w:hAnsi="宋体"/>
              </w:rPr>
              <w:t>4,800</w:t>
            </w:r>
            <w:r>
              <w:rPr>
                <w:rFonts w:ascii="宋体" w:hAnsi="宋体" w:hint="eastAsia"/>
              </w:rPr>
              <w:t>万元募集资金永久补充流动资金，并于</w:t>
            </w:r>
            <w:r>
              <w:rPr>
                <w:rFonts w:ascii="宋体" w:hAnsi="宋体"/>
              </w:rPr>
              <w:t>2010</w:t>
            </w:r>
            <w:r>
              <w:rPr>
                <w:rFonts w:ascii="宋体" w:hAnsi="宋体" w:hint="eastAsia"/>
              </w:rPr>
              <w:t>年</w:t>
            </w:r>
            <w:r>
              <w:rPr>
                <w:rFonts w:ascii="宋体" w:hAnsi="宋体"/>
              </w:rPr>
              <w:t>5</w:t>
            </w:r>
            <w:r>
              <w:rPr>
                <w:rFonts w:ascii="宋体" w:hAnsi="宋体" w:hint="eastAsia"/>
              </w:rPr>
              <w:t>月</w:t>
            </w:r>
            <w:r>
              <w:rPr>
                <w:rFonts w:ascii="宋体" w:hAnsi="宋体"/>
              </w:rPr>
              <w:t>13</w:t>
            </w:r>
            <w:r>
              <w:rPr>
                <w:rFonts w:ascii="宋体" w:hAnsi="宋体" w:hint="eastAsia"/>
              </w:rPr>
              <w:t>日使用</w:t>
            </w:r>
            <w:r>
              <w:rPr>
                <w:rFonts w:ascii="宋体" w:hAnsi="宋体"/>
              </w:rPr>
              <w:t>1,000</w:t>
            </w:r>
            <w:r>
              <w:rPr>
                <w:rFonts w:ascii="宋体" w:hAnsi="宋体" w:hint="eastAsia"/>
              </w:rPr>
              <w:t>万元募集资金偿还了在北京银行清华园支行的</w:t>
            </w:r>
            <w:r>
              <w:rPr>
                <w:rFonts w:ascii="宋体" w:hAnsi="宋体"/>
              </w:rPr>
              <w:t>1,000</w:t>
            </w:r>
            <w:r>
              <w:rPr>
                <w:rFonts w:ascii="宋体" w:hAnsi="宋体" w:hint="eastAsia"/>
              </w:rPr>
              <w:t>万元短期银行借款。</w:t>
            </w:r>
          </w:p>
          <w:p w:rsidR="00A9288A" w:rsidRDefault="007A4434">
            <w:pPr>
              <w:spacing w:before="0" w:after="0" w:line="400" w:lineRule="exact"/>
              <w:ind w:firstLine="357"/>
            </w:pPr>
            <w:r>
              <w:rPr>
                <w:rFonts w:ascii="宋体" w:hAnsi="宋体"/>
              </w:rPr>
              <w:t>2</w:t>
            </w:r>
            <w:r>
              <w:rPr>
                <w:rFonts w:ascii="宋体" w:hAnsi="宋体" w:hint="eastAsia"/>
              </w:rPr>
              <w:t>、</w:t>
            </w:r>
            <w:r>
              <w:rPr>
                <w:rFonts w:ascii="宋体" w:hAnsi="宋体"/>
              </w:rPr>
              <w:t>2011</w:t>
            </w:r>
            <w:r>
              <w:rPr>
                <w:rFonts w:ascii="宋体" w:hAnsi="宋体" w:hint="eastAsia"/>
              </w:rPr>
              <w:t>年</w:t>
            </w:r>
            <w:r>
              <w:rPr>
                <w:rFonts w:ascii="宋体" w:hAnsi="宋体"/>
              </w:rPr>
              <w:t>1</w:t>
            </w:r>
            <w:r>
              <w:rPr>
                <w:rFonts w:ascii="宋体" w:hAnsi="宋体" w:hint="eastAsia"/>
              </w:rPr>
              <w:t>月</w:t>
            </w:r>
            <w:r>
              <w:rPr>
                <w:rFonts w:ascii="宋体" w:hAnsi="宋体"/>
              </w:rPr>
              <w:t>6</w:t>
            </w:r>
            <w:r>
              <w:rPr>
                <w:rFonts w:ascii="宋体" w:hAnsi="宋体" w:hint="eastAsia"/>
              </w:rPr>
              <w:t>日，公司第一届董事会第二十一次会议审议通过了《关于使用超募资金投资设立江苏海兰船舶电气系统科技有限公司的议案》，同意公司使用</w:t>
            </w:r>
            <w:r>
              <w:rPr>
                <w:rFonts w:ascii="宋体" w:hAnsi="宋体"/>
              </w:rPr>
              <w:t>5,000</w:t>
            </w:r>
            <w:r>
              <w:rPr>
                <w:rFonts w:ascii="宋体" w:hAnsi="宋体" w:hint="eastAsia"/>
              </w:rPr>
              <w:t>万元超募资金与江苏新扬子造船有限公司、江苏韩通船舶重工有限公司、泰州三福船舶工程有限公司、江苏奕淳集团有限公司共同投资设立江苏海兰船舶电气系统科技有限公司。该事项已经独立董事、保荐机构发表了同意意见。截至</w:t>
            </w:r>
            <w:r>
              <w:rPr>
                <w:rFonts w:ascii="宋体" w:hAnsi="宋体"/>
              </w:rPr>
              <w:t>2011</w:t>
            </w:r>
            <w:r>
              <w:rPr>
                <w:rFonts w:ascii="宋体" w:hAnsi="宋体" w:hint="eastAsia"/>
              </w:rPr>
              <w:t>年</w:t>
            </w:r>
            <w:r>
              <w:rPr>
                <w:rFonts w:ascii="宋体" w:hAnsi="宋体"/>
              </w:rPr>
              <w:t>12</w:t>
            </w:r>
            <w:r>
              <w:rPr>
                <w:rFonts w:ascii="宋体" w:hAnsi="宋体" w:hint="eastAsia"/>
              </w:rPr>
              <w:t>月</w:t>
            </w:r>
            <w:r>
              <w:rPr>
                <w:rFonts w:ascii="宋体" w:hAnsi="宋体"/>
              </w:rPr>
              <w:t>31</w:t>
            </w:r>
            <w:r>
              <w:rPr>
                <w:rFonts w:ascii="宋体" w:hAnsi="宋体" w:hint="eastAsia"/>
              </w:rPr>
              <w:t>日，江苏海兰累计使用募集资金</w:t>
            </w:r>
            <w:r>
              <w:rPr>
                <w:rFonts w:ascii="宋体" w:hAnsi="宋体"/>
              </w:rPr>
              <w:t>5,000</w:t>
            </w:r>
            <w:r>
              <w:rPr>
                <w:rFonts w:ascii="宋体" w:hAnsi="宋体" w:hint="eastAsia"/>
              </w:rPr>
              <w:t>万元。</w:t>
            </w:r>
          </w:p>
          <w:p w:rsidR="00A9288A" w:rsidRDefault="007A4434">
            <w:pPr>
              <w:spacing w:before="0" w:after="0" w:line="400" w:lineRule="exact"/>
              <w:ind w:firstLine="357"/>
            </w:pPr>
            <w:r>
              <w:rPr>
                <w:rFonts w:ascii="宋体" w:hAnsi="宋体"/>
              </w:rPr>
              <w:t>3</w:t>
            </w:r>
            <w:r>
              <w:rPr>
                <w:rFonts w:ascii="宋体" w:hAnsi="宋体" w:hint="eastAsia"/>
              </w:rPr>
              <w:t>、</w:t>
            </w:r>
            <w:r>
              <w:rPr>
                <w:rFonts w:ascii="宋体" w:hAnsi="宋体"/>
              </w:rPr>
              <w:t>2011</w:t>
            </w:r>
            <w:r>
              <w:rPr>
                <w:rFonts w:ascii="宋体" w:hAnsi="宋体" w:hint="eastAsia"/>
              </w:rPr>
              <w:t>年</w:t>
            </w:r>
            <w:r>
              <w:rPr>
                <w:rFonts w:ascii="宋体" w:hAnsi="宋体"/>
              </w:rPr>
              <w:t>4</w:t>
            </w:r>
            <w:r>
              <w:rPr>
                <w:rFonts w:ascii="宋体" w:hAnsi="宋体" w:hint="eastAsia"/>
              </w:rPr>
              <w:t>月</w:t>
            </w:r>
            <w:r>
              <w:rPr>
                <w:rFonts w:ascii="宋体" w:hAnsi="宋体"/>
              </w:rPr>
              <w:t>21</w:t>
            </w:r>
            <w:r>
              <w:rPr>
                <w:rFonts w:ascii="宋体" w:hAnsi="宋体" w:hint="eastAsia"/>
              </w:rPr>
              <w:t>日，公司第一届董事会第二十二次会议审议通过了《关于使用超募资金永久补充流动资金的议案》，同意公司使用</w:t>
            </w:r>
            <w:r>
              <w:rPr>
                <w:rFonts w:ascii="宋体" w:hAnsi="宋体"/>
              </w:rPr>
              <w:t>6,500</w:t>
            </w:r>
            <w:r>
              <w:rPr>
                <w:rFonts w:ascii="宋体" w:hAnsi="宋体" w:hint="eastAsia"/>
              </w:rPr>
              <w:t>万元其他与主营业务相关的募集资金用于永久补充流动资金。该事项已经独立董事、保荐机构发表了同意意见。公司于</w:t>
            </w:r>
            <w:r>
              <w:rPr>
                <w:rFonts w:ascii="宋体" w:hAnsi="宋体"/>
              </w:rPr>
              <w:t>2011</w:t>
            </w:r>
            <w:r>
              <w:rPr>
                <w:rFonts w:ascii="宋体" w:hAnsi="宋体" w:hint="eastAsia"/>
              </w:rPr>
              <w:t>年</w:t>
            </w:r>
            <w:r>
              <w:rPr>
                <w:rFonts w:ascii="宋体" w:hAnsi="宋体"/>
              </w:rPr>
              <w:t>5</w:t>
            </w:r>
            <w:r>
              <w:rPr>
                <w:rFonts w:ascii="宋体" w:hAnsi="宋体" w:hint="eastAsia"/>
              </w:rPr>
              <w:t>月</w:t>
            </w:r>
            <w:r>
              <w:rPr>
                <w:rFonts w:ascii="宋体" w:hAnsi="宋体"/>
              </w:rPr>
              <w:t>11</w:t>
            </w:r>
            <w:r>
              <w:rPr>
                <w:rFonts w:ascii="宋体" w:hAnsi="宋体" w:hint="eastAsia"/>
              </w:rPr>
              <w:t>日使用了</w:t>
            </w:r>
            <w:r>
              <w:rPr>
                <w:rFonts w:ascii="宋体" w:hAnsi="宋体"/>
              </w:rPr>
              <w:t>6,500</w:t>
            </w:r>
            <w:r>
              <w:rPr>
                <w:rFonts w:ascii="宋体" w:hAnsi="宋体" w:hint="eastAsia"/>
              </w:rPr>
              <w:t>万元募集资金永久补充流动资金。</w:t>
            </w:r>
          </w:p>
          <w:p w:rsidR="00A9288A" w:rsidRDefault="007A4434">
            <w:pPr>
              <w:spacing w:before="0" w:after="0" w:line="400" w:lineRule="exact"/>
              <w:ind w:firstLine="357"/>
            </w:pPr>
            <w:r>
              <w:rPr>
                <w:rFonts w:ascii="宋体" w:hAnsi="宋体"/>
              </w:rPr>
              <w:t>4</w:t>
            </w:r>
            <w:r>
              <w:rPr>
                <w:rFonts w:ascii="宋体" w:hAnsi="宋体" w:hint="eastAsia"/>
              </w:rPr>
              <w:t>、</w:t>
            </w:r>
            <w:r>
              <w:rPr>
                <w:rFonts w:ascii="宋体" w:hAnsi="宋体"/>
              </w:rPr>
              <w:t>2011</w:t>
            </w:r>
            <w:r>
              <w:rPr>
                <w:rFonts w:ascii="宋体" w:hAnsi="宋体" w:hint="eastAsia"/>
              </w:rPr>
              <w:t>年</w:t>
            </w:r>
            <w:r>
              <w:rPr>
                <w:rFonts w:ascii="宋体" w:hAnsi="宋体"/>
              </w:rPr>
              <w:t>7</w:t>
            </w:r>
            <w:r>
              <w:rPr>
                <w:rFonts w:ascii="宋体" w:hAnsi="宋体" w:hint="eastAsia"/>
              </w:rPr>
              <w:t>月</w:t>
            </w:r>
            <w:r>
              <w:rPr>
                <w:rFonts w:ascii="宋体" w:hAnsi="宋体"/>
              </w:rPr>
              <w:t>18</w:t>
            </w:r>
            <w:r>
              <w:rPr>
                <w:rFonts w:ascii="宋体" w:hAnsi="宋体" w:hint="eastAsia"/>
              </w:rPr>
              <w:t>日，公司第二届董事会第二次会议审议通过了《关于使用部分超募资金暂时补充流动资金的议案》，同意公司使用</w:t>
            </w:r>
            <w:r>
              <w:rPr>
                <w:rFonts w:ascii="宋体" w:hAnsi="宋体"/>
              </w:rPr>
              <w:t>4,000</w:t>
            </w:r>
            <w:r>
              <w:rPr>
                <w:rFonts w:ascii="宋体" w:hAnsi="宋体" w:hint="eastAsia"/>
              </w:rPr>
              <w:t>万元其他与主营业务相关的募集资金用于暂时补充流动资金。该事项已经独立董事、保荐机构发表了同意意见。公司分别于</w:t>
            </w:r>
            <w:r>
              <w:rPr>
                <w:rFonts w:ascii="宋体" w:hAnsi="宋体"/>
              </w:rPr>
              <w:t>2011</w:t>
            </w:r>
            <w:r>
              <w:rPr>
                <w:rFonts w:ascii="宋体" w:hAnsi="宋体" w:hint="eastAsia"/>
              </w:rPr>
              <w:t>年</w:t>
            </w:r>
            <w:r>
              <w:rPr>
                <w:rFonts w:ascii="宋体" w:hAnsi="宋体"/>
              </w:rPr>
              <w:t>7</w:t>
            </w:r>
            <w:r>
              <w:rPr>
                <w:rFonts w:ascii="宋体" w:hAnsi="宋体" w:hint="eastAsia"/>
              </w:rPr>
              <w:t>月</w:t>
            </w:r>
            <w:r>
              <w:rPr>
                <w:rFonts w:ascii="宋体" w:hAnsi="宋体"/>
              </w:rPr>
              <w:t>28</w:t>
            </w:r>
            <w:r>
              <w:rPr>
                <w:rFonts w:ascii="宋体" w:hAnsi="宋体" w:hint="eastAsia"/>
              </w:rPr>
              <w:t>日、</w:t>
            </w:r>
            <w:r>
              <w:rPr>
                <w:rFonts w:ascii="宋体" w:hAnsi="宋体"/>
              </w:rPr>
              <w:t>8</w:t>
            </w:r>
            <w:r>
              <w:rPr>
                <w:rFonts w:ascii="宋体" w:hAnsi="宋体" w:hint="eastAsia"/>
              </w:rPr>
              <w:t>月</w:t>
            </w:r>
            <w:r>
              <w:rPr>
                <w:rFonts w:ascii="宋体" w:hAnsi="宋体"/>
              </w:rPr>
              <w:t>31</w:t>
            </w:r>
            <w:r>
              <w:rPr>
                <w:rFonts w:ascii="宋体" w:hAnsi="宋体" w:hint="eastAsia"/>
              </w:rPr>
              <w:t>日使用了</w:t>
            </w:r>
            <w:r>
              <w:rPr>
                <w:rFonts w:ascii="宋体" w:hAnsi="宋体"/>
              </w:rPr>
              <w:t>3,671.54</w:t>
            </w:r>
            <w:r>
              <w:rPr>
                <w:rFonts w:ascii="宋体" w:hAnsi="宋体" w:hint="eastAsia"/>
              </w:rPr>
              <w:t>万元、</w:t>
            </w:r>
            <w:r>
              <w:rPr>
                <w:rFonts w:ascii="宋体" w:hAnsi="宋体"/>
              </w:rPr>
              <w:t>328.46</w:t>
            </w:r>
            <w:r>
              <w:rPr>
                <w:rFonts w:ascii="宋体" w:hAnsi="宋体" w:hint="eastAsia"/>
              </w:rPr>
              <w:t>万元共计</w:t>
            </w:r>
            <w:r>
              <w:rPr>
                <w:rFonts w:ascii="宋体" w:hAnsi="宋体"/>
              </w:rPr>
              <w:t>4,000</w:t>
            </w:r>
            <w:r>
              <w:rPr>
                <w:rFonts w:ascii="宋体" w:hAnsi="宋体" w:hint="eastAsia"/>
              </w:rPr>
              <w:t>万元其他与主营业务相关的募集资金暂时补充流动资金。截止</w:t>
            </w:r>
            <w:r>
              <w:rPr>
                <w:rFonts w:ascii="宋体" w:hAnsi="宋体"/>
              </w:rPr>
              <w:t>2012</w:t>
            </w:r>
            <w:r>
              <w:rPr>
                <w:rFonts w:ascii="宋体" w:hAnsi="宋体" w:hint="eastAsia"/>
              </w:rPr>
              <w:t>年</w:t>
            </w:r>
            <w:r>
              <w:rPr>
                <w:rFonts w:ascii="宋体" w:hAnsi="宋体"/>
              </w:rPr>
              <w:t>1</w:t>
            </w:r>
            <w:r>
              <w:rPr>
                <w:rFonts w:ascii="宋体" w:hAnsi="宋体" w:hint="eastAsia"/>
              </w:rPr>
              <w:t>月</w:t>
            </w:r>
            <w:r>
              <w:rPr>
                <w:rFonts w:ascii="宋体" w:hAnsi="宋体"/>
              </w:rPr>
              <w:t>18</w:t>
            </w:r>
            <w:r>
              <w:rPr>
                <w:rFonts w:ascii="宋体" w:hAnsi="宋体" w:hint="eastAsia"/>
              </w:rPr>
              <w:t>日，公司已将上述暂时补充流动资金的</w:t>
            </w:r>
            <w:r>
              <w:rPr>
                <w:rFonts w:ascii="宋体" w:hAnsi="宋体"/>
              </w:rPr>
              <w:t>4,000</w:t>
            </w:r>
            <w:r>
              <w:rPr>
                <w:rFonts w:ascii="宋体" w:hAnsi="宋体" w:hint="eastAsia"/>
              </w:rPr>
              <w:t>万元全部归还至公司募集资金专用账户。</w:t>
            </w:r>
          </w:p>
          <w:p w:rsidR="00A9288A" w:rsidRDefault="007A4434">
            <w:pPr>
              <w:spacing w:before="0" w:after="0" w:line="400" w:lineRule="exact"/>
              <w:ind w:firstLine="357"/>
            </w:pPr>
            <w:r>
              <w:rPr>
                <w:rFonts w:ascii="宋体" w:hAnsi="宋体"/>
              </w:rPr>
              <w:t>5</w:t>
            </w:r>
            <w:r>
              <w:rPr>
                <w:rFonts w:ascii="宋体" w:hAnsi="宋体" w:hint="eastAsia"/>
              </w:rPr>
              <w:t>、</w:t>
            </w:r>
            <w:r>
              <w:rPr>
                <w:rFonts w:ascii="宋体" w:hAnsi="宋体"/>
              </w:rPr>
              <w:t>2011</w:t>
            </w:r>
            <w:r>
              <w:rPr>
                <w:rFonts w:ascii="宋体" w:hAnsi="宋体" w:hint="eastAsia"/>
              </w:rPr>
              <w:t>年</w:t>
            </w:r>
            <w:r>
              <w:rPr>
                <w:rFonts w:ascii="宋体" w:hAnsi="宋体"/>
              </w:rPr>
              <w:t>8</w:t>
            </w:r>
            <w:r>
              <w:rPr>
                <w:rFonts w:ascii="宋体" w:hAnsi="宋体" w:hint="eastAsia"/>
              </w:rPr>
              <w:t>月</w:t>
            </w:r>
            <w:r>
              <w:rPr>
                <w:rFonts w:ascii="宋体" w:hAnsi="宋体"/>
              </w:rPr>
              <w:t>11</w:t>
            </w:r>
            <w:r>
              <w:rPr>
                <w:rFonts w:ascii="宋体" w:hAnsi="宋体" w:hint="eastAsia"/>
              </w:rPr>
              <w:t>日，公司第二届董事会第三次会议审议通过了《关于使用部分超募资金对外投资的议案》，同意公司使用超募资金</w:t>
            </w:r>
            <w:r>
              <w:rPr>
                <w:rFonts w:ascii="宋体" w:hAnsi="宋体"/>
              </w:rPr>
              <w:t>3,500</w:t>
            </w:r>
            <w:r>
              <w:rPr>
                <w:rFonts w:ascii="宋体" w:hAnsi="宋体" w:hint="eastAsia"/>
              </w:rPr>
              <w:t>万元以增资扩股并收购部分股权的方式投资北京市京能电源技术研究所有限公司。该事项已经独立董事、保荐机构发表了同意意见。公司于</w:t>
            </w:r>
            <w:r>
              <w:rPr>
                <w:rFonts w:ascii="宋体" w:hAnsi="宋体"/>
              </w:rPr>
              <w:t>2011</w:t>
            </w:r>
            <w:r>
              <w:rPr>
                <w:rFonts w:ascii="宋体" w:hAnsi="宋体" w:hint="eastAsia"/>
              </w:rPr>
              <w:t>年</w:t>
            </w:r>
            <w:r>
              <w:rPr>
                <w:rFonts w:ascii="宋体" w:hAnsi="宋体"/>
              </w:rPr>
              <w:t>9</w:t>
            </w:r>
            <w:r>
              <w:rPr>
                <w:rFonts w:ascii="宋体" w:hAnsi="宋体" w:hint="eastAsia"/>
              </w:rPr>
              <w:t>月</w:t>
            </w:r>
            <w:r>
              <w:rPr>
                <w:rFonts w:ascii="宋体" w:hAnsi="宋体"/>
              </w:rPr>
              <w:t>28</w:t>
            </w:r>
            <w:r>
              <w:rPr>
                <w:rFonts w:ascii="宋体" w:hAnsi="宋体" w:hint="eastAsia"/>
              </w:rPr>
              <w:t>日使用了</w:t>
            </w:r>
            <w:r>
              <w:rPr>
                <w:rFonts w:ascii="宋体" w:hAnsi="宋体"/>
              </w:rPr>
              <w:t>3,500</w:t>
            </w:r>
            <w:r>
              <w:rPr>
                <w:rFonts w:ascii="宋体" w:hAnsi="宋体" w:hint="eastAsia"/>
              </w:rPr>
              <w:t>万元超募资金投资京能电源。为集中精力和资源推进航海智能化和海洋信息化领域主业，公司先后于</w:t>
            </w:r>
            <w:r>
              <w:rPr>
                <w:rFonts w:ascii="宋体" w:hAnsi="宋体"/>
              </w:rPr>
              <w:t>2014</w:t>
            </w:r>
            <w:r>
              <w:rPr>
                <w:rFonts w:ascii="宋体" w:hAnsi="宋体" w:hint="eastAsia"/>
              </w:rPr>
              <w:t>年</w:t>
            </w:r>
            <w:r>
              <w:rPr>
                <w:rFonts w:ascii="宋体" w:hAnsi="宋体"/>
              </w:rPr>
              <w:t>12</w:t>
            </w:r>
            <w:r>
              <w:rPr>
                <w:rFonts w:ascii="宋体" w:hAnsi="宋体" w:hint="eastAsia"/>
              </w:rPr>
              <w:t>月和</w:t>
            </w:r>
            <w:r>
              <w:rPr>
                <w:rFonts w:ascii="宋体" w:hAnsi="宋体"/>
              </w:rPr>
              <w:t>2015</w:t>
            </w:r>
            <w:r>
              <w:rPr>
                <w:rFonts w:ascii="宋体" w:hAnsi="宋体" w:hint="eastAsia"/>
              </w:rPr>
              <w:t>年</w:t>
            </w:r>
            <w:r>
              <w:rPr>
                <w:rFonts w:ascii="宋体" w:hAnsi="宋体"/>
              </w:rPr>
              <w:t>12</w:t>
            </w:r>
            <w:r>
              <w:rPr>
                <w:rFonts w:ascii="宋体" w:hAnsi="宋体" w:hint="eastAsia"/>
              </w:rPr>
              <w:t>月转让京能电源</w:t>
            </w:r>
            <w:r>
              <w:rPr>
                <w:rFonts w:ascii="宋体" w:hAnsi="宋体"/>
              </w:rPr>
              <w:t>25%</w:t>
            </w:r>
            <w:r>
              <w:rPr>
                <w:rFonts w:ascii="宋体" w:hAnsi="宋体" w:hint="eastAsia"/>
              </w:rPr>
              <w:t>和</w:t>
            </w:r>
            <w:r>
              <w:rPr>
                <w:rFonts w:ascii="宋体" w:hAnsi="宋体"/>
              </w:rPr>
              <w:t>45%</w:t>
            </w:r>
            <w:r>
              <w:rPr>
                <w:rFonts w:ascii="宋体" w:hAnsi="宋体" w:hint="eastAsia"/>
              </w:rPr>
              <w:t>的股权，截止</w:t>
            </w:r>
            <w:r>
              <w:rPr>
                <w:rFonts w:ascii="宋体" w:hAnsi="宋体"/>
              </w:rPr>
              <w:t>2015</w:t>
            </w:r>
            <w:r>
              <w:rPr>
                <w:rFonts w:ascii="宋体" w:hAnsi="宋体" w:hint="eastAsia"/>
              </w:rPr>
              <w:t>年底公司不再持有京能电源股权。</w:t>
            </w:r>
          </w:p>
          <w:p w:rsidR="00A9288A" w:rsidRDefault="007A4434">
            <w:pPr>
              <w:spacing w:before="0" w:after="0" w:line="400" w:lineRule="exact"/>
              <w:ind w:firstLine="357"/>
            </w:pPr>
            <w:r>
              <w:rPr>
                <w:rFonts w:ascii="宋体" w:hAnsi="宋体"/>
              </w:rPr>
              <w:lastRenderedPageBreak/>
              <w:t>6</w:t>
            </w:r>
            <w:r>
              <w:rPr>
                <w:rFonts w:ascii="宋体" w:hAnsi="宋体" w:hint="eastAsia"/>
              </w:rPr>
              <w:t>、</w:t>
            </w:r>
            <w:r>
              <w:rPr>
                <w:rFonts w:ascii="宋体" w:hAnsi="宋体"/>
              </w:rPr>
              <w:t>2012</w:t>
            </w:r>
            <w:r>
              <w:rPr>
                <w:rFonts w:ascii="宋体" w:hAnsi="宋体" w:hint="eastAsia"/>
              </w:rPr>
              <w:t>年</w:t>
            </w:r>
            <w:r>
              <w:rPr>
                <w:rFonts w:ascii="宋体" w:hAnsi="宋体"/>
              </w:rPr>
              <w:t>4</w:t>
            </w:r>
            <w:r>
              <w:rPr>
                <w:rFonts w:ascii="宋体" w:hAnsi="宋体" w:hint="eastAsia"/>
              </w:rPr>
              <w:t>月</w:t>
            </w:r>
            <w:r>
              <w:rPr>
                <w:rFonts w:ascii="宋体" w:hAnsi="宋体"/>
              </w:rPr>
              <w:t>23</w:t>
            </w:r>
            <w:r>
              <w:rPr>
                <w:rFonts w:ascii="宋体" w:hAnsi="宋体" w:hint="eastAsia"/>
              </w:rPr>
              <w:t>日，公司第二届董事会第九次会议审议通过了《关于使用超募资金永久补充流动资金的议案》，同意公司使用</w:t>
            </w:r>
            <w:r>
              <w:rPr>
                <w:rFonts w:ascii="宋体" w:hAnsi="宋体"/>
              </w:rPr>
              <w:t xml:space="preserve">6,500 </w:t>
            </w:r>
            <w:r>
              <w:rPr>
                <w:rFonts w:ascii="宋体" w:hAnsi="宋体" w:hint="eastAsia"/>
              </w:rPr>
              <w:t>万元其他与主营业务相关的募集资金用于永久补充流动资金。该事项已经独立董事、保荐机构发表了同意意见。公司于</w:t>
            </w:r>
            <w:r>
              <w:rPr>
                <w:rFonts w:ascii="宋体" w:hAnsi="宋体"/>
              </w:rPr>
              <w:t>2012</w:t>
            </w:r>
            <w:r>
              <w:rPr>
                <w:rFonts w:ascii="宋体" w:hAnsi="宋体" w:hint="eastAsia"/>
              </w:rPr>
              <w:t>年</w:t>
            </w:r>
            <w:r>
              <w:rPr>
                <w:rFonts w:ascii="宋体" w:hAnsi="宋体"/>
              </w:rPr>
              <w:t>4</w:t>
            </w:r>
            <w:r>
              <w:rPr>
                <w:rFonts w:ascii="宋体" w:hAnsi="宋体" w:hint="eastAsia"/>
              </w:rPr>
              <w:t>月</w:t>
            </w:r>
            <w:r>
              <w:rPr>
                <w:rFonts w:ascii="宋体" w:hAnsi="宋体"/>
              </w:rPr>
              <w:t>26</w:t>
            </w:r>
            <w:r>
              <w:rPr>
                <w:rFonts w:ascii="宋体" w:hAnsi="宋体" w:hint="eastAsia"/>
              </w:rPr>
              <w:t>日至</w:t>
            </w:r>
            <w:r>
              <w:rPr>
                <w:rFonts w:ascii="宋体" w:hAnsi="宋体"/>
              </w:rPr>
              <w:t>2012</w:t>
            </w:r>
            <w:r>
              <w:rPr>
                <w:rFonts w:ascii="宋体" w:hAnsi="宋体" w:hint="eastAsia"/>
              </w:rPr>
              <w:t>年</w:t>
            </w:r>
            <w:r>
              <w:rPr>
                <w:rFonts w:ascii="宋体" w:hAnsi="宋体"/>
              </w:rPr>
              <w:t>5</w:t>
            </w:r>
            <w:r>
              <w:rPr>
                <w:rFonts w:ascii="宋体" w:hAnsi="宋体" w:hint="eastAsia"/>
              </w:rPr>
              <w:t>月</w:t>
            </w:r>
            <w:r>
              <w:rPr>
                <w:rFonts w:ascii="宋体" w:hAnsi="宋体"/>
              </w:rPr>
              <w:t>23</w:t>
            </w:r>
            <w:r>
              <w:rPr>
                <w:rFonts w:ascii="宋体" w:hAnsi="宋体" w:hint="eastAsia"/>
              </w:rPr>
              <w:t>日期间使用了</w:t>
            </w:r>
            <w:r>
              <w:rPr>
                <w:rFonts w:ascii="宋体" w:hAnsi="宋体"/>
              </w:rPr>
              <w:t>6,500</w:t>
            </w:r>
            <w:r>
              <w:rPr>
                <w:rFonts w:ascii="宋体" w:hAnsi="宋体" w:hint="eastAsia"/>
              </w:rPr>
              <w:t>万元募集资金永久补充流动资金。</w:t>
            </w:r>
          </w:p>
          <w:p w:rsidR="00A9288A" w:rsidRDefault="007A4434">
            <w:pPr>
              <w:spacing w:before="0" w:after="0" w:line="400" w:lineRule="exact"/>
              <w:ind w:firstLine="357"/>
            </w:pPr>
            <w:r>
              <w:rPr>
                <w:rFonts w:ascii="宋体" w:hAnsi="宋体"/>
              </w:rPr>
              <w:t>7</w:t>
            </w:r>
            <w:r>
              <w:rPr>
                <w:rFonts w:ascii="宋体" w:hAnsi="宋体" w:hint="eastAsia"/>
              </w:rPr>
              <w:t>、</w:t>
            </w:r>
            <w:r>
              <w:rPr>
                <w:rFonts w:ascii="宋体" w:hAnsi="宋体"/>
              </w:rPr>
              <w:t>2013</w:t>
            </w:r>
            <w:r>
              <w:rPr>
                <w:rFonts w:ascii="宋体" w:hAnsi="宋体" w:hint="eastAsia"/>
              </w:rPr>
              <w:t>年</w:t>
            </w:r>
            <w:r>
              <w:rPr>
                <w:rFonts w:ascii="宋体" w:hAnsi="宋体"/>
              </w:rPr>
              <w:t>1</w:t>
            </w:r>
            <w:r>
              <w:rPr>
                <w:rFonts w:ascii="宋体" w:hAnsi="宋体" w:hint="eastAsia"/>
              </w:rPr>
              <w:t>月</w:t>
            </w:r>
            <w:r>
              <w:rPr>
                <w:rFonts w:ascii="宋体" w:hAnsi="宋体"/>
              </w:rPr>
              <w:t>23</w:t>
            </w:r>
            <w:r>
              <w:rPr>
                <w:rFonts w:ascii="宋体" w:hAnsi="宋体" w:hint="eastAsia"/>
              </w:rPr>
              <w:t>日，公司第二届董事会第十七次会议审议通过《关于使用超募资金投资设立三沙海兰信海洋信息科技有限公司的议案》，同意公司以超募资金出资</w:t>
            </w:r>
            <w:r>
              <w:rPr>
                <w:rFonts w:ascii="宋体" w:hAnsi="宋体"/>
              </w:rPr>
              <w:t xml:space="preserve"> 5,000</w:t>
            </w:r>
            <w:r>
              <w:rPr>
                <w:rFonts w:ascii="宋体" w:hAnsi="宋体" w:hint="eastAsia"/>
              </w:rPr>
              <w:t>万元设立三沙海兰信海洋信息科技有限公司（以下简称“三沙海兰信”）。</w:t>
            </w:r>
            <w:r>
              <w:rPr>
                <w:rFonts w:ascii="宋体" w:hAnsi="宋体"/>
              </w:rPr>
              <w:t>2013</w:t>
            </w:r>
            <w:r>
              <w:rPr>
                <w:rFonts w:ascii="宋体" w:hAnsi="宋体" w:hint="eastAsia"/>
              </w:rPr>
              <w:t>年</w:t>
            </w:r>
            <w:r>
              <w:rPr>
                <w:rFonts w:ascii="宋体" w:hAnsi="宋体"/>
              </w:rPr>
              <w:t>7</w:t>
            </w:r>
            <w:r>
              <w:rPr>
                <w:rFonts w:ascii="宋体" w:hAnsi="宋体" w:hint="eastAsia"/>
              </w:rPr>
              <w:t>月</w:t>
            </w:r>
            <w:r>
              <w:rPr>
                <w:rFonts w:ascii="宋体" w:hAnsi="宋体"/>
              </w:rPr>
              <w:t>16</w:t>
            </w:r>
            <w:r>
              <w:rPr>
                <w:rFonts w:ascii="宋体" w:hAnsi="宋体" w:hint="eastAsia"/>
              </w:rPr>
              <w:t>日，三沙海兰信完成工商注册登记手续</w:t>
            </w:r>
            <w:r>
              <w:rPr>
                <w:rFonts w:hint="eastAsia"/>
              </w:rPr>
              <w:t>，经营活动有序进行。</w:t>
            </w:r>
          </w:p>
          <w:p w:rsidR="00A9288A" w:rsidRDefault="007A4434">
            <w:pPr>
              <w:spacing w:before="0" w:after="0" w:line="400" w:lineRule="exact"/>
              <w:ind w:firstLine="357"/>
            </w:pPr>
            <w:r>
              <w:rPr>
                <w:rFonts w:ascii="宋体" w:hAnsi="宋体"/>
              </w:rPr>
              <w:t>8</w:t>
            </w:r>
            <w:r>
              <w:rPr>
                <w:rFonts w:ascii="宋体" w:hAnsi="宋体" w:hint="eastAsia"/>
              </w:rPr>
              <w:t>、</w:t>
            </w:r>
            <w:r>
              <w:rPr>
                <w:rFonts w:ascii="宋体" w:hAnsi="宋体"/>
              </w:rPr>
              <w:t>2013</w:t>
            </w:r>
            <w:r>
              <w:rPr>
                <w:rFonts w:ascii="宋体" w:hAnsi="宋体" w:hint="eastAsia"/>
              </w:rPr>
              <w:t>年</w:t>
            </w:r>
            <w:r>
              <w:rPr>
                <w:rFonts w:ascii="宋体" w:hAnsi="宋体"/>
              </w:rPr>
              <w:t>1</w:t>
            </w:r>
            <w:r>
              <w:rPr>
                <w:rFonts w:ascii="宋体" w:hAnsi="宋体" w:hint="eastAsia"/>
              </w:rPr>
              <w:t>月</w:t>
            </w:r>
            <w:r>
              <w:rPr>
                <w:rFonts w:ascii="宋体" w:hAnsi="宋体"/>
              </w:rPr>
              <w:t>23</w:t>
            </w:r>
            <w:r>
              <w:rPr>
                <w:rFonts w:ascii="宋体" w:hAnsi="宋体" w:hint="eastAsia"/>
              </w:rPr>
              <w:t>日，公司第二届董事会第十七次会议审议通过《关于使用超募资金投资设立江苏长信船舶科技有限公司的议案》，同意公司以超募资金出资</w:t>
            </w:r>
            <w:r>
              <w:rPr>
                <w:rFonts w:ascii="宋体" w:hAnsi="宋体"/>
              </w:rPr>
              <w:t>1,020</w:t>
            </w:r>
            <w:r>
              <w:rPr>
                <w:rFonts w:ascii="宋体" w:hAnsi="宋体" w:hint="eastAsia"/>
              </w:rPr>
              <w:t>万元与黄海造船、南通长青沙共同投资设立江苏长信船舶科技有限公司（后经工商核名为江苏欧泰海洋工程科技有限公司，简称“江苏欧泰”）。</w:t>
            </w:r>
            <w:r>
              <w:rPr>
                <w:rFonts w:ascii="宋体" w:hAnsi="宋体"/>
              </w:rPr>
              <w:t>2013</w:t>
            </w:r>
            <w:r>
              <w:rPr>
                <w:rFonts w:ascii="宋体" w:hAnsi="宋体" w:hint="eastAsia"/>
              </w:rPr>
              <w:t>年</w:t>
            </w:r>
            <w:r>
              <w:rPr>
                <w:rFonts w:ascii="宋体" w:hAnsi="宋体"/>
              </w:rPr>
              <w:t>3</w:t>
            </w:r>
            <w:r>
              <w:rPr>
                <w:rFonts w:ascii="宋体" w:hAnsi="宋体" w:hint="eastAsia"/>
              </w:rPr>
              <w:t>月</w:t>
            </w:r>
            <w:r>
              <w:rPr>
                <w:rFonts w:ascii="宋体" w:hAnsi="宋体"/>
              </w:rPr>
              <w:t>26</w:t>
            </w:r>
            <w:r>
              <w:rPr>
                <w:rFonts w:ascii="宋体" w:hAnsi="宋体" w:hint="eastAsia"/>
              </w:rPr>
              <w:t>日，江苏欧泰完成工商注册登记手续；</w:t>
            </w:r>
            <w:r>
              <w:rPr>
                <w:rFonts w:ascii="宋体" w:hAnsi="宋体"/>
              </w:rPr>
              <w:t>2014</w:t>
            </w:r>
            <w:r>
              <w:rPr>
                <w:rFonts w:ascii="宋体" w:hAnsi="宋体" w:hint="eastAsia"/>
              </w:rPr>
              <w:t>年</w:t>
            </w:r>
            <w:r>
              <w:rPr>
                <w:rFonts w:ascii="宋体" w:hAnsi="宋体"/>
              </w:rPr>
              <w:t>7</w:t>
            </w:r>
            <w:r>
              <w:rPr>
                <w:rFonts w:ascii="宋体" w:hAnsi="宋体" w:hint="eastAsia"/>
              </w:rPr>
              <w:t>月</w:t>
            </w:r>
            <w:r>
              <w:rPr>
                <w:rFonts w:ascii="宋体" w:hAnsi="宋体"/>
              </w:rPr>
              <w:t>30</w:t>
            </w:r>
            <w:r>
              <w:rPr>
                <w:rFonts w:ascii="宋体" w:hAnsi="宋体" w:hint="eastAsia"/>
              </w:rPr>
              <w:t>日，公司</w:t>
            </w:r>
            <w:r>
              <w:rPr>
                <w:rFonts w:ascii="宋体" w:hAnsi="宋体"/>
              </w:rPr>
              <w:t>2014</w:t>
            </w:r>
            <w:r>
              <w:rPr>
                <w:rFonts w:ascii="宋体" w:hAnsi="宋体" w:hint="eastAsia"/>
              </w:rPr>
              <w:t>年度第一次临时股东大会审议通过《关于终止超募资金投资项目的议案》，同意终止对江苏欧泰项目的后续投资，并授权董事会办理江苏欧泰及相应的募集资金专户的注销工作，剩余募集资金将继续存放于公司其他募集资金专户管理。江苏欧泰分别于</w:t>
            </w:r>
            <w:r>
              <w:rPr>
                <w:rFonts w:ascii="宋体" w:hAnsi="宋体"/>
              </w:rPr>
              <w:t>2014</w:t>
            </w:r>
            <w:r>
              <w:rPr>
                <w:rFonts w:ascii="宋体" w:hAnsi="宋体" w:hint="eastAsia"/>
              </w:rPr>
              <w:t>年</w:t>
            </w:r>
            <w:r>
              <w:rPr>
                <w:rFonts w:ascii="宋体" w:hAnsi="宋体"/>
              </w:rPr>
              <w:t>11</w:t>
            </w:r>
            <w:r>
              <w:rPr>
                <w:rFonts w:ascii="宋体" w:hAnsi="宋体" w:hint="eastAsia"/>
              </w:rPr>
              <w:t>月</w:t>
            </w:r>
            <w:r>
              <w:rPr>
                <w:rFonts w:ascii="宋体" w:hAnsi="宋体"/>
              </w:rPr>
              <w:t>12</w:t>
            </w:r>
            <w:r>
              <w:rPr>
                <w:rFonts w:ascii="宋体" w:hAnsi="宋体" w:hint="eastAsia"/>
              </w:rPr>
              <w:t>日、</w:t>
            </w:r>
            <w:r>
              <w:rPr>
                <w:rFonts w:ascii="宋体" w:hAnsi="宋体"/>
              </w:rPr>
              <w:t>12</w:t>
            </w:r>
            <w:r>
              <w:rPr>
                <w:rFonts w:ascii="宋体" w:hAnsi="宋体" w:hint="eastAsia"/>
              </w:rPr>
              <w:t>月</w:t>
            </w:r>
            <w:r>
              <w:rPr>
                <w:rFonts w:ascii="宋体" w:hAnsi="宋体"/>
              </w:rPr>
              <w:t>18</w:t>
            </w:r>
            <w:r>
              <w:rPr>
                <w:rFonts w:ascii="宋体" w:hAnsi="宋体" w:hint="eastAsia"/>
              </w:rPr>
              <w:t>日、</w:t>
            </w:r>
            <w:r>
              <w:rPr>
                <w:rFonts w:ascii="宋体" w:hAnsi="宋体"/>
              </w:rPr>
              <w:t>2015</w:t>
            </w:r>
            <w:r>
              <w:rPr>
                <w:rFonts w:ascii="宋体" w:hAnsi="宋体" w:hint="eastAsia"/>
              </w:rPr>
              <w:t>年</w:t>
            </w:r>
            <w:r>
              <w:rPr>
                <w:rFonts w:ascii="宋体" w:hAnsi="宋体"/>
              </w:rPr>
              <w:t>6</w:t>
            </w:r>
            <w:r>
              <w:rPr>
                <w:rFonts w:ascii="宋体" w:hAnsi="宋体" w:hint="eastAsia"/>
              </w:rPr>
              <w:t>月</w:t>
            </w:r>
            <w:r>
              <w:rPr>
                <w:rFonts w:ascii="宋体" w:hAnsi="宋体"/>
              </w:rPr>
              <w:t>25</w:t>
            </w:r>
            <w:r>
              <w:rPr>
                <w:rFonts w:ascii="宋体" w:hAnsi="宋体" w:hint="eastAsia"/>
              </w:rPr>
              <w:t>日支付公司投资款</w:t>
            </w:r>
            <w:r>
              <w:rPr>
                <w:rFonts w:ascii="宋体" w:hAnsi="宋体"/>
              </w:rPr>
              <w:t>235</w:t>
            </w:r>
            <w:r>
              <w:rPr>
                <w:rFonts w:ascii="宋体" w:hAnsi="宋体" w:hint="eastAsia"/>
              </w:rPr>
              <w:t>万元、</w:t>
            </w:r>
            <w:r>
              <w:rPr>
                <w:rFonts w:ascii="宋体" w:hAnsi="宋体"/>
              </w:rPr>
              <w:t>350</w:t>
            </w:r>
            <w:r>
              <w:rPr>
                <w:rFonts w:ascii="宋体" w:hAnsi="宋体" w:hint="eastAsia"/>
              </w:rPr>
              <w:t>万元、</w:t>
            </w:r>
            <w:r>
              <w:rPr>
                <w:rFonts w:ascii="宋体" w:hAnsi="宋体"/>
              </w:rPr>
              <w:t>8.55</w:t>
            </w:r>
            <w:r>
              <w:rPr>
                <w:rFonts w:ascii="宋体" w:hAnsi="宋体" w:hint="eastAsia"/>
              </w:rPr>
              <w:t>万元，退回的</w:t>
            </w:r>
            <w:r>
              <w:rPr>
                <w:rFonts w:ascii="宋体" w:hAnsi="宋体"/>
              </w:rPr>
              <w:t>593.55</w:t>
            </w:r>
            <w:r>
              <w:rPr>
                <w:rFonts w:ascii="宋体" w:hAnsi="宋体" w:hint="eastAsia"/>
              </w:rPr>
              <w:t>万募集资金继续存放于公司募集资金专户管理，江苏欧泰已于</w:t>
            </w:r>
            <w:r>
              <w:rPr>
                <w:rFonts w:ascii="宋体" w:hAnsi="宋体"/>
              </w:rPr>
              <w:t>2015</w:t>
            </w:r>
            <w:r>
              <w:rPr>
                <w:rFonts w:ascii="宋体" w:hAnsi="宋体" w:hint="eastAsia"/>
              </w:rPr>
              <w:t>年办理完毕注销工作。</w:t>
            </w:r>
          </w:p>
          <w:p w:rsidR="00A9288A" w:rsidRDefault="007A4434">
            <w:pPr>
              <w:spacing w:before="0" w:after="0" w:line="400" w:lineRule="exact"/>
              <w:ind w:firstLine="357"/>
            </w:pPr>
            <w:r>
              <w:rPr>
                <w:rFonts w:ascii="宋体" w:hAnsi="宋体"/>
              </w:rPr>
              <w:t>9</w:t>
            </w:r>
            <w:r>
              <w:rPr>
                <w:rFonts w:ascii="宋体" w:hAnsi="宋体" w:hint="eastAsia"/>
              </w:rPr>
              <w:t>、</w:t>
            </w:r>
            <w:r>
              <w:rPr>
                <w:rFonts w:ascii="宋体" w:hAnsi="宋体"/>
              </w:rPr>
              <w:t>2013</w:t>
            </w:r>
            <w:r>
              <w:rPr>
                <w:rFonts w:ascii="宋体" w:hAnsi="宋体" w:hint="eastAsia"/>
              </w:rPr>
              <w:t>年</w:t>
            </w:r>
            <w:r>
              <w:rPr>
                <w:rFonts w:ascii="宋体" w:hAnsi="宋体"/>
              </w:rPr>
              <w:t>10</w:t>
            </w:r>
            <w:r>
              <w:rPr>
                <w:rFonts w:ascii="宋体" w:hAnsi="宋体" w:hint="eastAsia"/>
              </w:rPr>
              <w:t>月</w:t>
            </w:r>
            <w:r>
              <w:rPr>
                <w:rFonts w:ascii="宋体" w:hAnsi="宋体"/>
              </w:rPr>
              <w:t>8</w:t>
            </w:r>
            <w:r>
              <w:rPr>
                <w:rFonts w:ascii="宋体" w:hAnsi="宋体" w:hint="eastAsia"/>
              </w:rPr>
              <w:t>日，公司第二届董事会第二十二次会议审议通过《关于使用超募资金暂时补充流动资金的议案》，同意公司使用剩余超募资金</w:t>
            </w:r>
            <w:r>
              <w:rPr>
                <w:rFonts w:ascii="宋体" w:hAnsi="宋体"/>
              </w:rPr>
              <w:t>1,450.19</w:t>
            </w:r>
            <w:r>
              <w:rPr>
                <w:rFonts w:ascii="宋体" w:hAnsi="宋体" w:hint="eastAsia"/>
              </w:rPr>
              <w:t>万元（包含利息）用于暂时补充流动资金。公司于</w:t>
            </w:r>
            <w:r>
              <w:rPr>
                <w:rFonts w:ascii="宋体" w:hAnsi="宋体"/>
              </w:rPr>
              <w:t>2013</w:t>
            </w:r>
            <w:r>
              <w:rPr>
                <w:rFonts w:ascii="宋体" w:hAnsi="宋体" w:hint="eastAsia"/>
              </w:rPr>
              <w:t>年</w:t>
            </w:r>
            <w:r>
              <w:rPr>
                <w:rFonts w:ascii="宋体" w:hAnsi="宋体"/>
              </w:rPr>
              <w:t>10</w:t>
            </w:r>
            <w:r>
              <w:rPr>
                <w:rFonts w:ascii="宋体" w:hAnsi="宋体" w:hint="eastAsia"/>
              </w:rPr>
              <w:t>月</w:t>
            </w:r>
            <w:r>
              <w:rPr>
                <w:rFonts w:ascii="宋体" w:hAnsi="宋体"/>
              </w:rPr>
              <w:t>12</w:t>
            </w:r>
            <w:r>
              <w:rPr>
                <w:rFonts w:ascii="宋体" w:hAnsi="宋体" w:hint="eastAsia"/>
              </w:rPr>
              <w:t>日至</w:t>
            </w:r>
            <w:r>
              <w:rPr>
                <w:rFonts w:ascii="宋体" w:hAnsi="宋体"/>
              </w:rPr>
              <w:t>2013</w:t>
            </w:r>
            <w:r>
              <w:rPr>
                <w:rFonts w:ascii="宋体" w:hAnsi="宋体" w:hint="eastAsia"/>
              </w:rPr>
              <w:t>年</w:t>
            </w:r>
            <w:r>
              <w:rPr>
                <w:rFonts w:ascii="宋体" w:hAnsi="宋体"/>
              </w:rPr>
              <w:t>10</w:t>
            </w:r>
            <w:r>
              <w:rPr>
                <w:rFonts w:ascii="宋体" w:hAnsi="宋体" w:hint="eastAsia"/>
              </w:rPr>
              <w:t>月</w:t>
            </w:r>
            <w:r>
              <w:rPr>
                <w:rFonts w:ascii="宋体" w:hAnsi="宋体"/>
              </w:rPr>
              <w:t>18</w:t>
            </w:r>
            <w:r>
              <w:rPr>
                <w:rFonts w:ascii="宋体" w:hAnsi="宋体" w:hint="eastAsia"/>
              </w:rPr>
              <w:t>日期间使用了</w:t>
            </w:r>
            <w:r>
              <w:rPr>
                <w:rFonts w:ascii="宋体" w:hAnsi="宋体"/>
              </w:rPr>
              <w:t>1,450.19</w:t>
            </w:r>
            <w:r>
              <w:rPr>
                <w:rFonts w:ascii="宋体" w:hAnsi="宋体" w:hint="eastAsia"/>
              </w:rPr>
              <w:t>万元募集资金暂时补充流动资金。截止</w:t>
            </w:r>
            <w:r>
              <w:rPr>
                <w:rFonts w:ascii="宋体" w:hAnsi="宋体"/>
              </w:rPr>
              <w:t>2014</w:t>
            </w:r>
            <w:r>
              <w:rPr>
                <w:rFonts w:ascii="宋体" w:hAnsi="宋体" w:hint="eastAsia"/>
              </w:rPr>
              <w:t>年</w:t>
            </w:r>
            <w:r>
              <w:rPr>
                <w:rFonts w:ascii="宋体" w:hAnsi="宋体"/>
              </w:rPr>
              <w:t>4</w:t>
            </w:r>
            <w:r>
              <w:rPr>
                <w:rFonts w:ascii="宋体" w:hAnsi="宋体" w:hint="eastAsia"/>
              </w:rPr>
              <w:t>月</w:t>
            </w:r>
            <w:r>
              <w:rPr>
                <w:rFonts w:ascii="宋体" w:hAnsi="宋体"/>
              </w:rPr>
              <w:t>8</w:t>
            </w:r>
            <w:r>
              <w:rPr>
                <w:rFonts w:ascii="宋体" w:hAnsi="宋体" w:hint="eastAsia"/>
              </w:rPr>
              <w:t>日，公司已将上述暂时补充流动资金</w:t>
            </w:r>
            <w:r>
              <w:rPr>
                <w:rFonts w:ascii="宋体" w:hAnsi="宋体"/>
              </w:rPr>
              <w:t>1,450.19</w:t>
            </w:r>
            <w:r>
              <w:rPr>
                <w:rFonts w:ascii="宋体" w:hAnsi="宋体" w:hint="eastAsia"/>
              </w:rPr>
              <w:t>万元全部归还至公司募集资金专用账户。</w:t>
            </w:r>
          </w:p>
          <w:p w:rsidR="00A9288A" w:rsidRDefault="007A4434">
            <w:pPr>
              <w:spacing w:before="0" w:after="0" w:line="400" w:lineRule="exact"/>
              <w:ind w:firstLine="357"/>
            </w:pPr>
            <w:r>
              <w:rPr>
                <w:rFonts w:ascii="宋体" w:hAnsi="宋体"/>
              </w:rPr>
              <w:t>10</w:t>
            </w:r>
            <w:r>
              <w:rPr>
                <w:rFonts w:ascii="宋体" w:hAnsi="宋体" w:hint="eastAsia"/>
              </w:rPr>
              <w:t>、</w:t>
            </w:r>
            <w:r>
              <w:rPr>
                <w:rFonts w:ascii="宋体" w:hAnsi="宋体"/>
              </w:rPr>
              <w:t>2015</w:t>
            </w:r>
            <w:r>
              <w:rPr>
                <w:rFonts w:ascii="宋体" w:hAnsi="宋体" w:hint="eastAsia"/>
              </w:rPr>
              <w:t>年</w:t>
            </w:r>
            <w:r>
              <w:rPr>
                <w:rFonts w:ascii="宋体" w:hAnsi="宋体"/>
              </w:rPr>
              <w:t>6</w:t>
            </w:r>
            <w:r>
              <w:rPr>
                <w:rFonts w:ascii="宋体" w:hAnsi="宋体" w:hint="eastAsia"/>
              </w:rPr>
              <w:t>月</w:t>
            </w:r>
            <w:r>
              <w:rPr>
                <w:rFonts w:ascii="宋体" w:hAnsi="宋体"/>
              </w:rPr>
              <w:t>30</w:t>
            </w:r>
            <w:r>
              <w:rPr>
                <w:rFonts w:ascii="宋体" w:hAnsi="宋体" w:hint="eastAsia"/>
              </w:rPr>
              <w:t>日，公司第三届董事会第十次会议审议通过《关于子公司对外投资的议案》，同意公司全资子公司三沙海兰信使用超募资金</w:t>
            </w:r>
            <w:r>
              <w:rPr>
                <w:rFonts w:ascii="宋体" w:hAnsi="宋体"/>
              </w:rPr>
              <w:t>1200</w:t>
            </w:r>
            <w:r>
              <w:rPr>
                <w:rFonts w:ascii="宋体" w:hAnsi="宋体" w:hint="eastAsia"/>
              </w:rPr>
              <w:t>万元入股武汉劳雷绿湾船舶科技有限公司（以下简称“劳雷绿湾”），其中拟出资</w:t>
            </w:r>
            <w:r>
              <w:rPr>
                <w:rFonts w:ascii="宋体" w:hAnsi="宋体"/>
              </w:rPr>
              <w:t>200</w:t>
            </w:r>
            <w:r>
              <w:rPr>
                <w:rFonts w:ascii="宋体" w:hAnsi="宋体" w:hint="eastAsia"/>
              </w:rPr>
              <w:t>万元人民币从原股东马卫泽先生处收购其持有</w:t>
            </w:r>
            <w:r>
              <w:rPr>
                <w:rFonts w:ascii="宋体" w:hAnsi="宋体"/>
              </w:rPr>
              <w:t>10.41%</w:t>
            </w:r>
            <w:r>
              <w:rPr>
                <w:rFonts w:ascii="宋体" w:hAnsi="宋体" w:hint="eastAsia"/>
              </w:rPr>
              <w:t>的股权，拟出资</w:t>
            </w:r>
            <w:r>
              <w:rPr>
                <w:rFonts w:ascii="宋体" w:hAnsi="宋体"/>
              </w:rPr>
              <w:t>1000</w:t>
            </w:r>
            <w:r>
              <w:rPr>
                <w:rFonts w:ascii="宋体" w:hAnsi="宋体" w:hint="eastAsia"/>
              </w:rPr>
              <w:t>万元人民币认购劳雷绿湾增资扩股后</w:t>
            </w:r>
            <w:r>
              <w:rPr>
                <w:rFonts w:ascii="宋体" w:hAnsi="宋体"/>
              </w:rPr>
              <w:t>27.45%</w:t>
            </w:r>
            <w:r>
              <w:rPr>
                <w:rFonts w:ascii="宋体" w:hAnsi="宋体" w:hint="eastAsia"/>
              </w:rPr>
              <w:t>的股份，合计持股比例为</w:t>
            </w:r>
            <w:r>
              <w:rPr>
                <w:rFonts w:ascii="宋体" w:hAnsi="宋体"/>
              </w:rPr>
              <w:t>35%</w:t>
            </w:r>
            <w:r>
              <w:rPr>
                <w:rFonts w:ascii="宋体" w:hAnsi="宋体" w:hint="eastAsia"/>
              </w:rPr>
              <w:t>，并于</w:t>
            </w:r>
            <w:r>
              <w:rPr>
                <w:rFonts w:ascii="宋体" w:hAnsi="宋体"/>
              </w:rPr>
              <w:t>2015</w:t>
            </w:r>
            <w:r>
              <w:rPr>
                <w:rFonts w:ascii="宋体" w:hAnsi="宋体" w:hint="eastAsia"/>
              </w:rPr>
              <w:t>年</w:t>
            </w:r>
            <w:r>
              <w:rPr>
                <w:rFonts w:ascii="宋体" w:hAnsi="宋体"/>
              </w:rPr>
              <w:t>9</w:t>
            </w:r>
            <w:r>
              <w:rPr>
                <w:rFonts w:ascii="宋体" w:hAnsi="宋体" w:hint="eastAsia"/>
              </w:rPr>
              <w:t>月</w:t>
            </w:r>
            <w:r>
              <w:rPr>
                <w:rFonts w:ascii="宋体" w:hAnsi="宋体"/>
              </w:rPr>
              <w:t>18</w:t>
            </w:r>
            <w:r>
              <w:rPr>
                <w:rFonts w:ascii="宋体" w:hAnsi="宋体" w:hint="eastAsia"/>
              </w:rPr>
              <w:t>日完成了工商相应变更。</w:t>
            </w:r>
          </w:p>
          <w:p w:rsidR="00A9288A" w:rsidRDefault="007A4434">
            <w:pPr>
              <w:spacing w:before="0" w:after="0" w:line="400" w:lineRule="exact"/>
              <w:ind w:firstLine="357"/>
            </w:pPr>
            <w:r>
              <w:rPr>
                <w:rFonts w:ascii="宋体" w:hAnsi="宋体"/>
              </w:rPr>
              <w:t>11</w:t>
            </w:r>
            <w:r>
              <w:rPr>
                <w:rFonts w:ascii="宋体" w:hAnsi="宋体" w:hint="eastAsia"/>
              </w:rPr>
              <w:t>、</w:t>
            </w:r>
            <w:r>
              <w:rPr>
                <w:rFonts w:ascii="宋体" w:hAnsi="宋体"/>
              </w:rPr>
              <w:t>2015</w:t>
            </w:r>
            <w:r>
              <w:rPr>
                <w:rFonts w:ascii="宋体" w:hAnsi="宋体" w:hint="eastAsia"/>
              </w:rPr>
              <w:t>年</w:t>
            </w:r>
            <w:r>
              <w:rPr>
                <w:rFonts w:ascii="宋体" w:hAnsi="宋体"/>
              </w:rPr>
              <w:t>6</w:t>
            </w:r>
            <w:r>
              <w:rPr>
                <w:rFonts w:ascii="宋体" w:hAnsi="宋体" w:hint="eastAsia"/>
              </w:rPr>
              <w:t>月</w:t>
            </w:r>
            <w:r>
              <w:rPr>
                <w:rFonts w:ascii="宋体" w:hAnsi="宋体"/>
              </w:rPr>
              <w:t>30</w:t>
            </w:r>
            <w:r>
              <w:rPr>
                <w:rFonts w:ascii="宋体" w:hAnsi="宋体" w:hint="eastAsia"/>
              </w:rPr>
              <w:t>日，公司第三届董事会第十次会议审议通过《关于使用暂时闲置募集资金和自有资金进行现金管理的议案》，同意公司使用不超过</w:t>
            </w:r>
            <w:r>
              <w:rPr>
                <w:rFonts w:ascii="宋体" w:hAnsi="宋体"/>
              </w:rPr>
              <w:t>3,000</w:t>
            </w:r>
            <w:r>
              <w:rPr>
                <w:rFonts w:ascii="宋体" w:hAnsi="宋体" w:hint="eastAsia"/>
              </w:rPr>
              <w:t>万元的暂时闲置募集资金进行现金管理，在上述额度内，资金可以在十二个月内进行滚动使用，且公司在任一时点利用募集资金购买银行理财产品总额不超过</w:t>
            </w:r>
            <w:r>
              <w:rPr>
                <w:rFonts w:ascii="宋体" w:hAnsi="宋体"/>
              </w:rPr>
              <w:t>3,000</w:t>
            </w:r>
            <w:r>
              <w:rPr>
                <w:rFonts w:ascii="宋体" w:hAnsi="宋体" w:hint="eastAsia"/>
              </w:rPr>
              <w:t>万元。</w:t>
            </w:r>
            <w:r>
              <w:rPr>
                <w:rFonts w:ascii="宋体" w:hAnsi="宋体"/>
              </w:rPr>
              <w:t xml:space="preserve"> </w:t>
            </w:r>
            <w:r>
              <w:rPr>
                <w:rFonts w:ascii="宋体" w:hAnsi="宋体" w:hint="eastAsia"/>
              </w:rPr>
              <w:t>上述银行理财产品不得用于质押，产品专用结算账户（如适用）不得存放非募集资金或用作其他用途，开立或注销产品专用结算账户的，公司将及时报深圳证券交易所备案并公告。</w:t>
            </w:r>
          </w:p>
        </w:tc>
      </w:tr>
      <w:tr w:rsidR="00A9288A">
        <w:tc>
          <w:tcPr>
            <w:tcW w:w="163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lastRenderedPageBreak/>
              <w:t>募集资金投资项目</w:t>
            </w:r>
            <w:r>
              <w:rPr>
                <w:rFonts w:hint="eastAsia"/>
              </w:rPr>
              <w:lastRenderedPageBreak/>
              <w:t>实施地点变更情况</w:t>
            </w:r>
          </w:p>
        </w:tc>
        <w:tc>
          <w:tcPr>
            <w:tcW w:w="8061" w:type="dxa"/>
            <w:gridSpan w:val="11"/>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lastRenderedPageBreak/>
              <w:t>不适用</w:t>
            </w:r>
          </w:p>
        </w:tc>
      </w:tr>
      <w:tr w:rsidR="00A9288A">
        <w:tc>
          <w:tcPr>
            <w:tcW w:w="1633"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left"/>
              <w:rPr>
                <w:rFonts w:eastAsia="Times New Roman" w:cs="Times New Roman"/>
              </w:rPr>
            </w:pPr>
          </w:p>
        </w:tc>
        <w:tc>
          <w:tcPr>
            <w:tcW w:w="8061" w:type="dxa"/>
            <w:gridSpan w:val="11"/>
            <w:tcBorders>
              <w:top w:val="single" w:sz="4" w:space="0" w:color="auto"/>
              <w:left w:val="single" w:sz="4" w:space="0" w:color="auto"/>
              <w:bottom w:val="single" w:sz="4" w:space="0" w:color="auto"/>
              <w:right w:val="single" w:sz="4" w:space="0" w:color="auto"/>
            </w:tcBorders>
            <w:vAlign w:val="center"/>
          </w:tcPr>
          <w:p w:rsidR="00A9288A" w:rsidRDefault="00A9288A">
            <w:pPr>
              <w:jc w:val="left"/>
              <w:rPr>
                <w:rFonts w:eastAsia="Times New Roman" w:cs="Times New Roman"/>
              </w:rPr>
            </w:pPr>
          </w:p>
        </w:tc>
      </w:tr>
      <w:tr w:rsidR="00A9288A">
        <w:tc>
          <w:tcPr>
            <w:tcW w:w="1633"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left"/>
              <w:rPr>
                <w:rFonts w:eastAsia="Times New Roman" w:cs="Times New Roman"/>
              </w:rPr>
            </w:pPr>
          </w:p>
        </w:tc>
        <w:tc>
          <w:tcPr>
            <w:tcW w:w="8061" w:type="dxa"/>
            <w:gridSpan w:val="11"/>
            <w:tcBorders>
              <w:top w:val="single" w:sz="4" w:space="0" w:color="auto"/>
              <w:left w:val="single" w:sz="4" w:space="0" w:color="auto"/>
              <w:bottom w:val="single" w:sz="4" w:space="0" w:color="auto"/>
              <w:right w:val="single" w:sz="4" w:space="0" w:color="auto"/>
            </w:tcBorders>
            <w:vAlign w:val="center"/>
          </w:tcPr>
          <w:p w:rsidR="00A9288A" w:rsidRDefault="00A9288A">
            <w:pPr>
              <w:jc w:val="left"/>
              <w:rPr>
                <w:rFonts w:eastAsia="Times New Roman" w:cs="Times New Roman"/>
              </w:rPr>
            </w:pPr>
          </w:p>
        </w:tc>
      </w:tr>
      <w:tr w:rsidR="00A9288A">
        <w:tc>
          <w:tcPr>
            <w:tcW w:w="163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募集资金投资项目实施方式调整情况</w:t>
            </w:r>
          </w:p>
        </w:tc>
        <w:tc>
          <w:tcPr>
            <w:tcW w:w="8061" w:type="dxa"/>
            <w:gridSpan w:val="11"/>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不适用</w:t>
            </w:r>
          </w:p>
        </w:tc>
      </w:tr>
      <w:tr w:rsidR="00A9288A">
        <w:tc>
          <w:tcPr>
            <w:tcW w:w="1633"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left"/>
              <w:rPr>
                <w:rFonts w:eastAsia="Times New Roman" w:cs="Times New Roman"/>
              </w:rPr>
            </w:pPr>
          </w:p>
        </w:tc>
        <w:tc>
          <w:tcPr>
            <w:tcW w:w="8061" w:type="dxa"/>
            <w:gridSpan w:val="11"/>
            <w:tcBorders>
              <w:top w:val="single" w:sz="4" w:space="0" w:color="auto"/>
              <w:left w:val="single" w:sz="4" w:space="0" w:color="auto"/>
              <w:bottom w:val="single" w:sz="4" w:space="0" w:color="auto"/>
              <w:right w:val="single" w:sz="4" w:space="0" w:color="auto"/>
            </w:tcBorders>
            <w:vAlign w:val="center"/>
          </w:tcPr>
          <w:p w:rsidR="00A9288A" w:rsidRDefault="00A9288A">
            <w:pPr>
              <w:jc w:val="left"/>
              <w:rPr>
                <w:rFonts w:eastAsia="Times New Roman" w:cs="Times New Roman"/>
              </w:rPr>
            </w:pPr>
          </w:p>
        </w:tc>
      </w:tr>
      <w:tr w:rsidR="00A9288A">
        <w:tc>
          <w:tcPr>
            <w:tcW w:w="1633"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left"/>
              <w:rPr>
                <w:rFonts w:eastAsia="Times New Roman" w:cs="Times New Roman"/>
              </w:rPr>
            </w:pPr>
          </w:p>
        </w:tc>
        <w:tc>
          <w:tcPr>
            <w:tcW w:w="8061" w:type="dxa"/>
            <w:gridSpan w:val="11"/>
            <w:tcBorders>
              <w:top w:val="single" w:sz="4" w:space="0" w:color="auto"/>
              <w:left w:val="single" w:sz="4" w:space="0" w:color="auto"/>
              <w:bottom w:val="single" w:sz="4" w:space="0" w:color="auto"/>
              <w:right w:val="single" w:sz="4" w:space="0" w:color="auto"/>
            </w:tcBorders>
            <w:vAlign w:val="center"/>
          </w:tcPr>
          <w:p w:rsidR="00A9288A" w:rsidRDefault="00A9288A">
            <w:pPr>
              <w:jc w:val="left"/>
              <w:rPr>
                <w:rFonts w:eastAsia="Times New Roman" w:cs="Times New Roman"/>
              </w:rPr>
            </w:pPr>
          </w:p>
        </w:tc>
      </w:tr>
      <w:tr w:rsidR="00A9288A">
        <w:tc>
          <w:tcPr>
            <w:tcW w:w="163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募集资金投资项目先期投入及置换情况</w:t>
            </w:r>
          </w:p>
        </w:tc>
        <w:tc>
          <w:tcPr>
            <w:tcW w:w="8061" w:type="dxa"/>
            <w:gridSpan w:val="11"/>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适用</w:t>
            </w:r>
          </w:p>
        </w:tc>
      </w:tr>
      <w:tr w:rsidR="00A9288A">
        <w:tc>
          <w:tcPr>
            <w:tcW w:w="1633"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left"/>
              <w:rPr>
                <w:rFonts w:eastAsia="Times New Roman" w:cs="Times New Roman"/>
              </w:rPr>
            </w:pPr>
          </w:p>
        </w:tc>
        <w:tc>
          <w:tcPr>
            <w:tcW w:w="8061" w:type="dxa"/>
            <w:gridSpan w:val="11"/>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cs="Times New Roman"/>
              </w:rPr>
              <w:t>2009</w:t>
            </w:r>
            <w:r>
              <w:rPr>
                <w:rFonts w:hint="eastAsia"/>
              </w:rPr>
              <w:t>年</w:t>
            </w:r>
            <w:r>
              <w:rPr>
                <w:rFonts w:cs="Times New Roman"/>
              </w:rPr>
              <w:t>12</w:t>
            </w:r>
            <w:r>
              <w:rPr>
                <w:rFonts w:hint="eastAsia"/>
              </w:rPr>
              <w:t>月</w:t>
            </w:r>
            <w:r>
              <w:rPr>
                <w:rFonts w:cs="Times New Roman"/>
              </w:rPr>
              <w:t>22</w:t>
            </w:r>
            <w:r>
              <w:rPr>
                <w:rFonts w:hint="eastAsia"/>
              </w:rPr>
              <w:t>日，公司第一届董事会第十三次会议决议，同意公司以自筹资金支付房屋首付款</w:t>
            </w:r>
            <w:r>
              <w:rPr>
                <w:rFonts w:cs="Times New Roman"/>
              </w:rPr>
              <w:t>2,000</w:t>
            </w:r>
            <w:r>
              <w:rPr>
                <w:rFonts w:hint="eastAsia"/>
              </w:rPr>
              <w:t>万元，公司于</w:t>
            </w:r>
            <w:r>
              <w:rPr>
                <w:rFonts w:cs="Times New Roman"/>
              </w:rPr>
              <w:t>2009</w:t>
            </w:r>
            <w:r>
              <w:rPr>
                <w:rFonts w:hint="eastAsia"/>
              </w:rPr>
              <w:t>年</w:t>
            </w:r>
            <w:r>
              <w:rPr>
                <w:rFonts w:cs="Times New Roman"/>
              </w:rPr>
              <w:t>12</w:t>
            </w:r>
            <w:r>
              <w:rPr>
                <w:rFonts w:hint="eastAsia"/>
              </w:rPr>
              <w:t>月</w:t>
            </w:r>
            <w:r>
              <w:rPr>
                <w:rFonts w:cs="Times New Roman"/>
              </w:rPr>
              <w:t>25</w:t>
            </w:r>
            <w:r>
              <w:rPr>
                <w:rFonts w:hint="eastAsia"/>
              </w:rPr>
              <w:t>日已将房屋购房款</w:t>
            </w:r>
            <w:r>
              <w:rPr>
                <w:rFonts w:cs="Times New Roman"/>
              </w:rPr>
              <w:t>2,000</w:t>
            </w:r>
            <w:r>
              <w:rPr>
                <w:rFonts w:hint="eastAsia"/>
              </w:rPr>
              <w:t>万元支付给开发商北京实创环保发展有限公司。公司于</w:t>
            </w:r>
            <w:r>
              <w:rPr>
                <w:rFonts w:cs="Times New Roman"/>
              </w:rPr>
              <w:t>2010</w:t>
            </w:r>
            <w:r>
              <w:rPr>
                <w:rFonts w:hint="eastAsia"/>
              </w:rPr>
              <w:t>年</w:t>
            </w:r>
            <w:r>
              <w:rPr>
                <w:rFonts w:cs="Times New Roman"/>
              </w:rPr>
              <w:t>4</w:t>
            </w:r>
            <w:r>
              <w:rPr>
                <w:rFonts w:hint="eastAsia"/>
              </w:rPr>
              <w:t>月</w:t>
            </w:r>
            <w:r>
              <w:rPr>
                <w:rFonts w:cs="Times New Roman"/>
              </w:rPr>
              <w:t>13</w:t>
            </w:r>
            <w:r>
              <w:rPr>
                <w:rFonts w:hint="eastAsia"/>
              </w:rPr>
              <w:t>日以自有资金支付本次募集资金投资项目所需厂房尾款</w:t>
            </w:r>
            <w:r>
              <w:rPr>
                <w:rFonts w:cs="Times New Roman"/>
              </w:rPr>
              <w:t>1,148.46</w:t>
            </w:r>
            <w:r>
              <w:rPr>
                <w:rFonts w:hint="eastAsia"/>
              </w:rPr>
              <w:t>万元，</w:t>
            </w:r>
            <w:r>
              <w:rPr>
                <w:rFonts w:cs="Times New Roman"/>
              </w:rPr>
              <w:t>2010</w:t>
            </w:r>
            <w:r>
              <w:rPr>
                <w:rFonts w:hint="eastAsia"/>
              </w:rPr>
              <w:t>年</w:t>
            </w:r>
            <w:r>
              <w:rPr>
                <w:rFonts w:cs="Times New Roman"/>
              </w:rPr>
              <w:t>9</w:t>
            </w:r>
            <w:r>
              <w:rPr>
                <w:rFonts w:hint="eastAsia"/>
              </w:rPr>
              <w:t>月</w:t>
            </w:r>
            <w:r>
              <w:rPr>
                <w:rFonts w:cs="Times New Roman"/>
              </w:rPr>
              <w:t>16</w:t>
            </w:r>
            <w:r>
              <w:rPr>
                <w:rFonts w:hint="eastAsia"/>
              </w:rPr>
              <w:t>日，公司以自有资金支付房屋实测面积差额款</w:t>
            </w:r>
            <w:r>
              <w:rPr>
                <w:rFonts w:cs="Times New Roman"/>
              </w:rPr>
              <w:t>6.78</w:t>
            </w:r>
            <w:r>
              <w:rPr>
                <w:rFonts w:hint="eastAsia"/>
              </w:rPr>
              <w:t>万元。公司未进行以上募集资金置换。</w:t>
            </w:r>
          </w:p>
        </w:tc>
      </w:tr>
      <w:tr w:rsidR="00A9288A">
        <w:tc>
          <w:tcPr>
            <w:tcW w:w="163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用闲置募集资金暂时补充流动资金情况</w:t>
            </w:r>
          </w:p>
        </w:tc>
        <w:tc>
          <w:tcPr>
            <w:tcW w:w="8061" w:type="dxa"/>
            <w:gridSpan w:val="11"/>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适用</w:t>
            </w:r>
          </w:p>
        </w:tc>
      </w:tr>
      <w:tr w:rsidR="00A9288A">
        <w:tc>
          <w:tcPr>
            <w:tcW w:w="1633"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left"/>
              <w:rPr>
                <w:rFonts w:eastAsia="Times New Roman" w:cs="Times New Roman"/>
              </w:rPr>
            </w:pPr>
          </w:p>
        </w:tc>
        <w:tc>
          <w:tcPr>
            <w:tcW w:w="8061" w:type="dxa"/>
            <w:gridSpan w:val="11"/>
            <w:tcBorders>
              <w:top w:val="single" w:sz="4" w:space="0" w:color="auto"/>
              <w:left w:val="single" w:sz="4" w:space="0" w:color="auto"/>
              <w:bottom w:val="single" w:sz="4" w:space="0" w:color="auto"/>
              <w:right w:val="single" w:sz="4" w:space="0" w:color="auto"/>
            </w:tcBorders>
          </w:tcPr>
          <w:p w:rsidR="00A9288A" w:rsidRDefault="007A4434">
            <w:pPr>
              <w:spacing w:after="0"/>
              <w:ind w:firstLine="360"/>
              <w:jc w:val="left"/>
            </w:pPr>
            <w:r>
              <w:rPr>
                <w:rFonts w:ascii="宋体" w:hAnsi="宋体"/>
              </w:rPr>
              <w:t>1</w:t>
            </w:r>
            <w:r>
              <w:rPr>
                <w:rFonts w:ascii="宋体" w:hAnsi="宋体" w:hint="eastAsia"/>
              </w:rPr>
              <w:t>、</w:t>
            </w:r>
            <w:r>
              <w:rPr>
                <w:rFonts w:ascii="宋体" w:hAnsi="宋体"/>
              </w:rPr>
              <w:t>2011</w:t>
            </w:r>
            <w:r>
              <w:rPr>
                <w:rFonts w:ascii="宋体" w:hAnsi="宋体" w:hint="eastAsia"/>
              </w:rPr>
              <w:t>年</w:t>
            </w:r>
            <w:r>
              <w:rPr>
                <w:rFonts w:ascii="宋体" w:hAnsi="宋体"/>
              </w:rPr>
              <w:t>7</w:t>
            </w:r>
            <w:r>
              <w:rPr>
                <w:rFonts w:ascii="宋体" w:hAnsi="宋体" w:hint="eastAsia"/>
              </w:rPr>
              <w:t>月</w:t>
            </w:r>
            <w:r>
              <w:rPr>
                <w:rFonts w:ascii="宋体" w:hAnsi="宋体"/>
              </w:rPr>
              <w:t>18</w:t>
            </w:r>
            <w:r>
              <w:rPr>
                <w:rFonts w:ascii="宋体" w:hAnsi="宋体" w:hint="eastAsia"/>
              </w:rPr>
              <w:t>日公司第二届董事会第二次会议审议通过了《关于使用部分超募资金暂时补充流动资金的议案》，同意公司使用</w:t>
            </w:r>
            <w:r>
              <w:rPr>
                <w:rFonts w:ascii="宋体" w:hAnsi="宋体"/>
              </w:rPr>
              <w:t>4,000</w:t>
            </w:r>
            <w:r>
              <w:rPr>
                <w:rFonts w:ascii="宋体" w:hAnsi="宋体" w:hint="eastAsia"/>
              </w:rPr>
              <w:t>万元其他与主营业务相关的募集资金用于暂时补充流动资金。该事项已经独立董事、保荐机构发表了同意意见。公司分别于</w:t>
            </w:r>
            <w:r>
              <w:rPr>
                <w:rFonts w:ascii="宋体" w:hAnsi="宋体"/>
              </w:rPr>
              <w:t>2011</w:t>
            </w:r>
            <w:r>
              <w:rPr>
                <w:rFonts w:ascii="宋体" w:hAnsi="宋体" w:hint="eastAsia"/>
              </w:rPr>
              <w:t>年</w:t>
            </w:r>
            <w:r>
              <w:rPr>
                <w:rFonts w:ascii="宋体" w:hAnsi="宋体"/>
              </w:rPr>
              <w:t>7</w:t>
            </w:r>
            <w:r>
              <w:rPr>
                <w:rFonts w:ascii="宋体" w:hAnsi="宋体" w:hint="eastAsia"/>
              </w:rPr>
              <w:t>月</w:t>
            </w:r>
            <w:r>
              <w:rPr>
                <w:rFonts w:ascii="宋体" w:hAnsi="宋体"/>
              </w:rPr>
              <w:t>28</w:t>
            </w:r>
            <w:r>
              <w:rPr>
                <w:rFonts w:ascii="宋体" w:hAnsi="宋体" w:hint="eastAsia"/>
              </w:rPr>
              <w:t>日、</w:t>
            </w:r>
            <w:r>
              <w:rPr>
                <w:rFonts w:ascii="宋体" w:hAnsi="宋体"/>
              </w:rPr>
              <w:t>8</w:t>
            </w:r>
            <w:r>
              <w:rPr>
                <w:rFonts w:ascii="宋体" w:hAnsi="宋体" w:hint="eastAsia"/>
              </w:rPr>
              <w:t>月</w:t>
            </w:r>
            <w:r>
              <w:rPr>
                <w:rFonts w:ascii="宋体" w:hAnsi="宋体"/>
              </w:rPr>
              <w:t>31</w:t>
            </w:r>
            <w:r>
              <w:rPr>
                <w:rFonts w:ascii="宋体" w:hAnsi="宋体" w:hint="eastAsia"/>
              </w:rPr>
              <w:t>日使用了</w:t>
            </w:r>
            <w:r>
              <w:rPr>
                <w:rFonts w:ascii="宋体" w:hAnsi="宋体"/>
              </w:rPr>
              <w:t>3,671.54</w:t>
            </w:r>
            <w:r>
              <w:rPr>
                <w:rFonts w:ascii="宋体" w:hAnsi="宋体" w:hint="eastAsia"/>
              </w:rPr>
              <w:t>万元、</w:t>
            </w:r>
            <w:r>
              <w:rPr>
                <w:rFonts w:ascii="宋体" w:hAnsi="宋体"/>
              </w:rPr>
              <w:t>328.46</w:t>
            </w:r>
            <w:r>
              <w:rPr>
                <w:rFonts w:ascii="宋体" w:hAnsi="宋体" w:hint="eastAsia"/>
              </w:rPr>
              <w:t>万元共计</w:t>
            </w:r>
            <w:r>
              <w:rPr>
                <w:rFonts w:ascii="宋体" w:hAnsi="宋体"/>
              </w:rPr>
              <w:t>4,000</w:t>
            </w:r>
            <w:r>
              <w:rPr>
                <w:rFonts w:ascii="宋体" w:hAnsi="宋体" w:hint="eastAsia"/>
              </w:rPr>
              <w:t>万元其他与主营业务相关的募集资金暂时补充流动资金。截止</w:t>
            </w:r>
            <w:r>
              <w:rPr>
                <w:rFonts w:ascii="宋体" w:hAnsi="宋体"/>
              </w:rPr>
              <w:t>2012</w:t>
            </w:r>
            <w:r>
              <w:rPr>
                <w:rFonts w:ascii="宋体" w:hAnsi="宋体" w:hint="eastAsia"/>
              </w:rPr>
              <w:t>年</w:t>
            </w:r>
            <w:r>
              <w:rPr>
                <w:rFonts w:ascii="宋体" w:hAnsi="宋体"/>
              </w:rPr>
              <w:t>1</w:t>
            </w:r>
            <w:r>
              <w:rPr>
                <w:rFonts w:ascii="宋体" w:hAnsi="宋体" w:hint="eastAsia"/>
              </w:rPr>
              <w:t>月</w:t>
            </w:r>
            <w:r>
              <w:rPr>
                <w:rFonts w:ascii="宋体" w:hAnsi="宋体"/>
              </w:rPr>
              <w:t>18</w:t>
            </w:r>
            <w:r>
              <w:rPr>
                <w:rFonts w:ascii="宋体" w:hAnsi="宋体" w:hint="eastAsia"/>
              </w:rPr>
              <w:t>日，公司已将上述暂时补充流动资金的</w:t>
            </w:r>
            <w:r>
              <w:rPr>
                <w:rFonts w:ascii="宋体" w:hAnsi="宋体"/>
              </w:rPr>
              <w:t>4,000</w:t>
            </w:r>
            <w:r>
              <w:rPr>
                <w:rFonts w:ascii="宋体" w:hAnsi="宋体" w:hint="eastAsia"/>
              </w:rPr>
              <w:t>万元全部归还至公司募集资金专用账户。</w:t>
            </w:r>
          </w:p>
          <w:p w:rsidR="00A9288A" w:rsidRDefault="007A4434">
            <w:pPr>
              <w:spacing w:after="0"/>
              <w:ind w:firstLine="360"/>
              <w:jc w:val="left"/>
            </w:pPr>
            <w:r>
              <w:rPr>
                <w:rFonts w:ascii="宋体" w:hAnsi="宋体"/>
              </w:rPr>
              <w:t>2</w:t>
            </w:r>
            <w:r>
              <w:rPr>
                <w:rFonts w:ascii="宋体" w:hAnsi="宋体" w:hint="eastAsia"/>
              </w:rPr>
              <w:t>、</w:t>
            </w:r>
            <w:r>
              <w:rPr>
                <w:rFonts w:ascii="宋体" w:hAnsi="宋体"/>
              </w:rPr>
              <w:t>2013</w:t>
            </w:r>
            <w:r>
              <w:rPr>
                <w:rFonts w:ascii="宋体" w:hAnsi="宋体" w:hint="eastAsia"/>
              </w:rPr>
              <w:t>年</w:t>
            </w:r>
            <w:r>
              <w:rPr>
                <w:rFonts w:ascii="宋体" w:hAnsi="宋体"/>
              </w:rPr>
              <w:t>10</w:t>
            </w:r>
            <w:r>
              <w:rPr>
                <w:rFonts w:ascii="宋体" w:hAnsi="宋体" w:hint="eastAsia"/>
              </w:rPr>
              <w:t>月</w:t>
            </w:r>
            <w:r>
              <w:rPr>
                <w:rFonts w:ascii="宋体" w:hAnsi="宋体"/>
              </w:rPr>
              <w:t>8</w:t>
            </w:r>
            <w:r>
              <w:rPr>
                <w:rFonts w:ascii="宋体" w:hAnsi="宋体" w:hint="eastAsia"/>
              </w:rPr>
              <w:t>日，公司第二届董事会第二十二次会议审议通过《关于使用超募资金暂时补充流动资金的议案》，同意公司使用剩余超募资金</w:t>
            </w:r>
            <w:r>
              <w:rPr>
                <w:rFonts w:ascii="宋体" w:hAnsi="宋体"/>
              </w:rPr>
              <w:t>1,450.19</w:t>
            </w:r>
            <w:r>
              <w:rPr>
                <w:rFonts w:ascii="宋体" w:hAnsi="宋体" w:hint="eastAsia"/>
              </w:rPr>
              <w:t>万元（包含利息）用于暂时补充流动资金。公司于</w:t>
            </w:r>
            <w:r>
              <w:rPr>
                <w:rFonts w:ascii="宋体" w:hAnsi="宋体"/>
              </w:rPr>
              <w:t>2013</w:t>
            </w:r>
            <w:r>
              <w:rPr>
                <w:rFonts w:ascii="宋体" w:hAnsi="宋体" w:hint="eastAsia"/>
              </w:rPr>
              <w:t>年</w:t>
            </w:r>
            <w:r>
              <w:rPr>
                <w:rFonts w:ascii="宋体" w:hAnsi="宋体"/>
              </w:rPr>
              <w:t>10</w:t>
            </w:r>
            <w:r>
              <w:rPr>
                <w:rFonts w:ascii="宋体" w:hAnsi="宋体" w:hint="eastAsia"/>
              </w:rPr>
              <w:t>月</w:t>
            </w:r>
            <w:r>
              <w:rPr>
                <w:rFonts w:ascii="宋体" w:hAnsi="宋体"/>
              </w:rPr>
              <w:t>12</w:t>
            </w:r>
            <w:r>
              <w:rPr>
                <w:rFonts w:ascii="宋体" w:hAnsi="宋体" w:hint="eastAsia"/>
              </w:rPr>
              <w:t>日至</w:t>
            </w:r>
            <w:r>
              <w:rPr>
                <w:rFonts w:ascii="宋体" w:hAnsi="宋体"/>
              </w:rPr>
              <w:t>2013</w:t>
            </w:r>
            <w:r>
              <w:rPr>
                <w:rFonts w:ascii="宋体" w:hAnsi="宋体" w:hint="eastAsia"/>
              </w:rPr>
              <w:t>年</w:t>
            </w:r>
            <w:r>
              <w:rPr>
                <w:rFonts w:ascii="宋体" w:hAnsi="宋体"/>
              </w:rPr>
              <w:t>10</w:t>
            </w:r>
            <w:r>
              <w:rPr>
                <w:rFonts w:ascii="宋体" w:hAnsi="宋体" w:hint="eastAsia"/>
              </w:rPr>
              <w:t>月</w:t>
            </w:r>
            <w:r>
              <w:rPr>
                <w:rFonts w:ascii="宋体" w:hAnsi="宋体"/>
              </w:rPr>
              <w:t>18</w:t>
            </w:r>
            <w:r>
              <w:rPr>
                <w:rFonts w:ascii="宋体" w:hAnsi="宋体" w:hint="eastAsia"/>
              </w:rPr>
              <w:t>日期间使用了</w:t>
            </w:r>
            <w:r>
              <w:rPr>
                <w:rFonts w:ascii="宋体" w:hAnsi="宋体"/>
              </w:rPr>
              <w:t>1,450.19</w:t>
            </w:r>
            <w:r>
              <w:rPr>
                <w:rFonts w:ascii="宋体" w:hAnsi="宋体" w:hint="eastAsia"/>
              </w:rPr>
              <w:t>万元募集资金暂时补充流动资金。截止</w:t>
            </w:r>
            <w:r>
              <w:rPr>
                <w:rFonts w:ascii="宋体" w:hAnsi="宋体"/>
              </w:rPr>
              <w:t>2014</w:t>
            </w:r>
            <w:r>
              <w:rPr>
                <w:rFonts w:ascii="宋体" w:hAnsi="宋体" w:hint="eastAsia"/>
              </w:rPr>
              <w:t>年</w:t>
            </w:r>
            <w:r>
              <w:rPr>
                <w:rFonts w:ascii="宋体" w:hAnsi="宋体"/>
              </w:rPr>
              <w:t>4</w:t>
            </w:r>
            <w:r>
              <w:rPr>
                <w:rFonts w:ascii="宋体" w:hAnsi="宋体" w:hint="eastAsia"/>
              </w:rPr>
              <w:t>月</w:t>
            </w:r>
            <w:r>
              <w:rPr>
                <w:rFonts w:ascii="宋体" w:hAnsi="宋体"/>
              </w:rPr>
              <w:t>8</w:t>
            </w:r>
            <w:r>
              <w:rPr>
                <w:rFonts w:ascii="宋体" w:hAnsi="宋体" w:hint="eastAsia"/>
              </w:rPr>
              <w:t>日，公司已将上述暂时补充流动资金的</w:t>
            </w:r>
            <w:r>
              <w:rPr>
                <w:rFonts w:ascii="宋体" w:hAnsi="宋体"/>
              </w:rPr>
              <w:t>1,450.19</w:t>
            </w:r>
            <w:r>
              <w:rPr>
                <w:rFonts w:ascii="宋体" w:hAnsi="宋体" w:hint="eastAsia"/>
              </w:rPr>
              <w:t>万元全部归还至公司募集资金专用账户。</w:t>
            </w:r>
          </w:p>
        </w:tc>
      </w:tr>
      <w:tr w:rsidR="00A9288A">
        <w:tc>
          <w:tcPr>
            <w:tcW w:w="163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项目实施出现募集资金结余的金额及原因</w:t>
            </w:r>
          </w:p>
        </w:tc>
        <w:tc>
          <w:tcPr>
            <w:tcW w:w="8061" w:type="dxa"/>
            <w:gridSpan w:val="11"/>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适用</w:t>
            </w:r>
          </w:p>
        </w:tc>
      </w:tr>
      <w:tr w:rsidR="00A9288A">
        <w:tc>
          <w:tcPr>
            <w:tcW w:w="1633"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left"/>
              <w:rPr>
                <w:rFonts w:eastAsia="Times New Roman" w:cs="Times New Roman"/>
              </w:rPr>
            </w:pPr>
          </w:p>
        </w:tc>
        <w:tc>
          <w:tcPr>
            <w:tcW w:w="8061" w:type="dxa"/>
            <w:gridSpan w:val="11"/>
            <w:tcBorders>
              <w:top w:val="single" w:sz="4" w:space="0" w:color="auto"/>
              <w:left w:val="single" w:sz="4" w:space="0" w:color="auto"/>
              <w:bottom w:val="single" w:sz="4" w:space="0" w:color="auto"/>
              <w:right w:val="single" w:sz="4" w:space="0" w:color="auto"/>
            </w:tcBorders>
          </w:tcPr>
          <w:p w:rsidR="00A9288A" w:rsidRDefault="007A4434">
            <w:pPr>
              <w:spacing w:after="0"/>
              <w:ind w:firstLine="360"/>
              <w:jc w:val="left"/>
            </w:pPr>
            <w:r>
              <w:rPr>
                <w:rFonts w:ascii="宋体" w:hAnsi="宋体" w:hint="eastAsia"/>
              </w:rPr>
              <w:t>为更好地把握市场机遇，公司在上市前即启动上述募投项目的建设筹备工作。</w:t>
            </w:r>
            <w:r>
              <w:rPr>
                <w:rFonts w:ascii="宋体" w:hAnsi="宋体"/>
              </w:rPr>
              <w:t>2009</w:t>
            </w:r>
            <w:r>
              <w:rPr>
                <w:rFonts w:ascii="宋体" w:hAnsi="宋体" w:hint="eastAsia"/>
              </w:rPr>
              <w:t>年</w:t>
            </w:r>
            <w:r>
              <w:rPr>
                <w:rFonts w:ascii="宋体" w:hAnsi="宋体"/>
              </w:rPr>
              <w:t>12</w:t>
            </w:r>
            <w:r>
              <w:rPr>
                <w:rFonts w:ascii="宋体" w:hAnsi="宋体" w:hint="eastAsia"/>
              </w:rPr>
              <w:t>月</w:t>
            </w:r>
            <w:r>
              <w:rPr>
                <w:rFonts w:ascii="宋体" w:hAnsi="宋体"/>
              </w:rPr>
              <w:t>22</w:t>
            </w:r>
            <w:r>
              <w:rPr>
                <w:rFonts w:ascii="宋体" w:hAnsi="宋体" w:hint="eastAsia"/>
              </w:rPr>
              <w:t>日，公司第一届董事会第十三次会议决议，同意公司以自筹资金支付上述募投项目所需厂房首付款</w:t>
            </w:r>
            <w:r>
              <w:rPr>
                <w:rFonts w:ascii="宋体" w:hAnsi="宋体"/>
              </w:rPr>
              <w:t>2,000</w:t>
            </w:r>
            <w:r>
              <w:rPr>
                <w:rFonts w:ascii="宋体" w:hAnsi="宋体" w:hint="eastAsia"/>
              </w:rPr>
              <w:t>万元，公司于</w:t>
            </w:r>
            <w:r>
              <w:rPr>
                <w:rFonts w:ascii="宋体" w:hAnsi="宋体"/>
              </w:rPr>
              <w:t>2009</w:t>
            </w:r>
            <w:r>
              <w:rPr>
                <w:rFonts w:ascii="宋体" w:hAnsi="宋体" w:hint="eastAsia"/>
              </w:rPr>
              <w:t>年</w:t>
            </w:r>
            <w:r>
              <w:rPr>
                <w:rFonts w:ascii="宋体" w:hAnsi="宋体"/>
              </w:rPr>
              <w:t>12</w:t>
            </w:r>
            <w:r>
              <w:rPr>
                <w:rFonts w:ascii="宋体" w:hAnsi="宋体" w:hint="eastAsia"/>
              </w:rPr>
              <w:t>月</w:t>
            </w:r>
            <w:r>
              <w:rPr>
                <w:rFonts w:ascii="宋体" w:hAnsi="宋体"/>
              </w:rPr>
              <w:t>25</w:t>
            </w:r>
            <w:r>
              <w:rPr>
                <w:rFonts w:ascii="宋体" w:hAnsi="宋体" w:hint="eastAsia"/>
              </w:rPr>
              <w:t>日已将房屋购房款</w:t>
            </w:r>
            <w:r>
              <w:rPr>
                <w:rFonts w:ascii="宋体" w:hAnsi="宋体"/>
              </w:rPr>
              <w:t>2,000</w:t>
            </w:r>
            <w:r>
              <w:rPr>
                <w:rFonts w:ascii="宋体" w:hAnsi="宋体" w:hint="eastAsia"/>
              </w:rPr>
              <w:t>万元支付给开发商北京实创环保发展有限公司；</w:t>
            </w:r>
            <w:r>
              <w:rPr>
                <w:rFonts w:ascii="宋体" w:hAnsi="宋体"/>
              </w:rPr>
              <w:t>2010</w:t>
            </w:r>
            <w:r>
              <w:rPr>
                <w:rFonts w:ascii="宋体" w:hAnsi="宋体" w:hint="eastAsia"/>
              </w:rPr>
              <w:t>年</w:t>
            </w:r>
            <w:r>
              <w:rPr>
                <w:rFonts w:ascii="宋体" w:hAnsi="宋体"/>
              </w:rPr>
              <w:t>4</w:t>
            </w:r>
            <w:r>
              <w:rPr>
                <w:rFonts w:ascii="宋体" w:hAnsi="宋体" w:hint="eastAsia"/>
              </w:rPr>
              <w:t>月</w:t>
            </w:r>
            <w:r>
              <w:rPr>
                <w:rFonts w:ascii="宋体" w:hAnsi="宋体"/>
              </w:rPr>
              <w:t>13</w:t>
            </w:r>
            <w:r>
              <w:rPr>
                <w:rFonts w:ascii="宋体" w:hAnsi="宋体" w:hint="eastAsia"/>
              </w:rPr>
              <w:t>日，公司继续以自有资金支付了本次募集资金投资项目所需厂房尾款</w:t>
            </w:r>
            <w:r>
              <w:rPr>
                <w:rFonts w:ascii="宋体" w:hAnsi="宋体"/>
              </w:rPr>
              <w:t>1,148.46</w:t>
            </w:r>
            <w:r>
              <w:rPr>
                <w:rFonts w:ascii="宋体" w:hAnsi="宋体" w:hint="eastAsia"/>
              </w:rPr>
              <w:t>万元；</w:t>
            </w:r>
            <w:r>
              <w:rPr>
                <w:rFonts w:ascii="宋体" w:hAnsi="宋体"/>
              </w:rPr>
              <w:t>2010</w:t>
            </w:r>
            <w:r>
              <w:rPr>
                <w:rFonts w:ascii="宋体" w:hAnsi="宋体" w:hint="eastAsia"/>
              </w:rPr>
              <w:t>年</w:t>
            </w:r>
            <w:r>
              <w:rPr>
                <w:rFonts w:ascii="宋体" w:hAnsi="宋体"/>
              </w:rPr>
              <w:t>9</w:t>
            </w:r>
            <w:r>
              <w:rPr>
                <w:rFonts w:ascii="宋体" w:hAnsi="宋体" w:hint="eastAsia"/>
              </w:rPr>
              <w:t>月</w:t>
            </w:r>
            <w:r>
              <w:rPr>
                <w:rFonts w:ascii="宋体" w:hAnsi="宋体"/>
              </w:rPr>
              <w:t>16</w:t>
            </w:r>
            <w:r>
              <w:rPr>
                <w:rFonts w:ascii="宋体" w:hAnsi="宋体" w:hint="eastAsia"/>
              </w:rPr>
              <w:t>日，公司以自有资金支付房屋实测面积差额款</w:t>
            </w:r>
            <w:r>
              <w:rPr>
                <w:rFonts w:ascii="宋体" w:hAnsi="宋体"/>
              </w:rPr>
              <w:t>6.78</w:t>
            </w:r>
            <w:r>
              <w:rPr>
                <w:rFonts w:ascii="宋体" w:hAnsi="宋体" w:hint="eastAsia"/>
              </w:rPr>
              <w:t>万元。公司一直未以募集资金置换上述预先已投入募投项目的自筹资金，合计</w:t>
            </w:r>
            <w:r>
              <w:rPr>
                <w:rFonts w:ascii="宋体" w:hAnsi="宋体"/>
              </w:rPr>
              <w:t>3,162.03</w:t>
            </w:r>
            <w:r>
              <w:rPr>
                <w:rFonts w:ascii="宋体" w:hAnsi="宋体" w:hint="eastAsia"/>
              </w:rPr>
              <w:t>万元。同时，在募集资金项目的建设过程中，公司在保证项目建设质量的前提下，加强各项目的费用控制和管理，一定程度上节约了项目开支。截至目前，公司首次公开发行股票募集资金项目</w:t>
            </w:r>
            <w:r>
              <w:rPr>
                <w:rFonts w:hint="eastAsia"/>
              </w:rPr>
              <w:t>“</w:t>
            </w:r>
            <w:r>
              <w:rPr>
                <w:rFonts w:ascii="宋体" w:hAnsi="宋体" w:hint="eastAsia"/>
              </w:rPr>
              <w:t>船舶远程监控管理系统（</w:t>
            </w:r>
            <w:r>
              <w:rPr>
                <w:rFonts w:ascii="宋体" w:hAnsi="宋体"/>
              </w:rPr>
              <w:t>VMS</w:t>
            </w:r>
            <w:r>
              <w:rPr>
                <w:rFonts w:ascii="宋体" w:hAnsi="宋体" w:hint="eastAsia"/>
              </w:rPr>
              <w:t>）产业化项目</w:t>
            </w:r>
            <w:r>
              <w:rPr>
                <w:rFonts w:hint="eastAsia"/>
              </w:rPr>
              <w:t>”</w:t>
            </w:r>
            <w:r>
              <w:rPr>
                <w:rFonts w:ascii="宋体" w:hAnsi="宋体" w:hint="eastAsia"/>
              </w:rPr>
              <w:t>、</w:t>
            </w:r>
            <w:r>
              <w:rPr>
                <w:rFonts w:hint="eastAsia"/>
              </w:rPr>
              <w:t>“</w:t>
            </w:r>
            <w:r>
              <w:rPr>
                <w:rFonts w:ascii="宋体" w:hAnsi="宋体" w:hint="eastAsia"/>
              </w:rPr>
              <w:t>船舶操舵仪（</w:t>
            </w:r>
            <w:r>
              <w:rPr>
                <w:rFonts w:ascii="宋体" w:hAnsi="宋体"/>
              </w:rPr>
              <w:t>SCS</w:t>
            </w:r>
            <w:r>
              <w:rPr>
                <w:rFonts w:ascii="宋体" w:hAnsi="宋体" w:hint="eastAsia"/>
              </w:rPr>
              <w:t>）生产线建设项目</w:t>
            </w:r>
            <w:r>
              <w:rPr>
                <w:rFonts w:hint="eastAsia"/>
              </w:rPr>
              <w:t>”</w:t>
            </w:r>
            <w:r>
              <w:rPr>
                <w:rFonts w:ascii="宋体" w:hAnsi="宋体" w:hint="eastAsia"/>
              </w:rPr>
              <w:t>及</w:t>
            </w:r>
            <w:r>
              <w:rPr>
                <w:rFonts w:hint="eastAsia"/>
              </w:rPr>
              <w:t>“</w:t>
            </w:r>
            <w:r>
              <w:rPr>
                <w:rFonts w:ascii="宋体" w:hAnsi="宋体" w:hint="eastAsia"/>
              </w:rPr>
              <w:t>研发中心扩建项目</w:t>
            </w:r>
            <w:r>
              <w:rPr>
                <w:rFonts w:hint="eastAsia"/>
              </w:rPr>
              <w:t>”</w:t>
            </w:r>
            <w:r>
              <w:rPr>
                <w:rFonts w:ascii="宋体" w:hAnsi="宋体" w:hint="eastAsia"/>
              </w:rPr>
              <w:t>已达到预计可使用状态，公司募投项目确认完工，合计节余资金</w:t>
            </w:r>
            <w:r>
              <w:rPr>
                <w:rFonts w:ascii="宋体" w:hAnsi="宋体"/>
              </w:rPr>
              <w:t>3,510.73</w:t>
            </w:r>
            <w:r>
              <w:rPr>
                <w:rFonts w:ascii="宋体" w:hAnsi="宋体" w:hint="eastAsia"/>
              </w:rPr>
              <w:t>万元及利息收入</w:t>
            </w:r>
            <w:r>
              <w:rPr>
                <w:rFonts w:ascii="宋体" w:hAnsi="宋体"/>
              </w:rPr>
              <w:t>180.85</w:t>
            </w:r>
            <w:r>
              <w:rPr>
                <w:rFonts w:ascii="宋体" w:hAnsi="宋体" w:hint="eastAsia"/>
              </w:rPr>
              <w:t>万元。</w:t>
            </w:r>
            <w:r>
              <w:rPr>
                <w:rFonts w:ascii="宋体" w:hAnsi="宋体"/>
              </w:rPr>
              <w:t>2012</w:t>
            </w:r>
            <w:r>
              <w:rPr>
                <w:rFonts w:ascii="宋体" w:hAnsi="宋体" w:hint="eastAsia"/>
              </w:rPr>
              <w:t>年</w:t>
            </w:r>
            <w:r>
              <w:rPr>
                <w:rFonts w:ascii="宋体" w:hAnsi="宋体"/>
              </w:rPr>
              <w:t>1</w:t>
            </w:r>
            <w:r>
              <w:rPr>
                <w:rFonts w:ascii="宋体" w:hAnsi="宋体" w:hint="eastAsia"/>
              </w:rPr>
              <w:t>月</w:t>
            </w:r>
            <w:r>
              <w:rPr>
                <w:rFonts w:ascii="宋体" w:hAnsi="宋体"/>
              </w:rPr>
              <w:t>13</w:t>
            </w:r>
            <w:r>
              <w:rPr>
                <w:rFonts w:ascii="宋体" w:hAnsi="宋体" w:hint="eastAsia"/>
              </w:rPr>
              <w:t>日第二届董事会第七次会议和第二届监事会第五次会议分别审议通过了《关于将节余募集资金永久补充公司流动资金的议案》，同意将上述节余资金永久补充公司流动资金。</w:t>
            </w:r>
          </w:p>
        </w:tc>
      </w:tr>
      <w:tr w:rsidR="00A9288A">
        <w:tc>
          <w:tcPr>
            <w:tcW w:w="163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尚未使用的募集资金用途及去向</w:t>
            </w:r>
          </w:p>
        </w:tc>
        <w:tc>
          <w:tcPr>
            <w:tcW w:w="8061" w:type="dxa"/>
            <w:gridSpan w:val="11"/>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尚未使用的募集资金（包括超募资金）均存放在公司银行募集资金专户中</w:t>
            </w:r>
            <w:r>
              <w:rPr>
                <w:rFonts w:eastAsia="Times New Roman" w:cs="Times New Roman"/>
              </w:rPr>
              <w:t>,</w:t>
            </w:r>
            <w:r>
              <w:rPr>
                <w:rFonts w:hint="eastAsia"/>
              </w:rPr>
              <w:t>超募资金将全部用于主营业务，并根据公司的发展规划及实际生产经营需求，妥善安排使用计划，公司实际使用超募资金前，将履行相应的董事会或股东大会审议程序，并及时披露。</w:t>
            </w:r>
          </w:p>
        </w:tc>
      </w:tr>
      <w:tr w:rsidR="00A9288A">
        <w:tc>
          <w:tcPr>
            <w:tcW w:w="163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募集资金使用及披露中存在的问题或其他情况</w:t>
            </w:r>
          </w:p>
        </w:tc>
        <w:tc>
          <w:tcPr>
            <w:tcW w:w="8061" w:type="dxa"/>
            <w:gridSpan w:val="11"/>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不适用。</w:t>
            </w:r>
          </w:p>
        </w:tc>
      </w:tr>
    </w:tbl>
    <w:p w:rsidR="00A9288A" w:rsidRDefault="007A4434">
      <w:pPr>
        <w:pStyle w:val="Section"/>
        <w:outlineLvl w:val="3"/>
        <w:rPr>
          <w:rFonts w:eastAsia="Times New Roman" w:cs="Times New Roman"/>
        </w:rPr>
      </w:pPr>
      <w:r>
        <w:rPr>
          <w:rFonts w:hint="eastAsia"/>
        </w:rPr>
        <w:lastRenderedPageBreak/>
        <w:t>（</w:t>
      </w:r>
      <w:r>
        <w:rPr>
          <w:rFonts w:cs="Times New Roman"/>
        </w:rPr>
        <w:t>3</w:t>
      </w:r>
      <w:r>
        <w:rPr>
          <w:rFonts w:hint="eastAsia"/>
        </w:rPr>
        <w:t>）募集资金变更项目情况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公司报告期不存在募集资金变更项目情况。</w:t>
      </w:r>
    </w:p>
    <w:p w:rsidR="00A9288A" w:rsidRDefault="007A4434">
      <w:pPr>
        <w:pStyle w:val="Section"/>
        <w:outlineLvl w:val="2"/>
        <w:rPr>
          <w:rFonts w:eastAsia="Times New Roman" w:cs="Times New Roman"/>
        </w:rPr>
      </w:pPr>
      <w:r>
        <w:rPr>
          <w:rFonts w:cs="Times New Roman"/>
        </w:rPr>
        <w:t>6</w:t>
      </w:r>
      <w:r>
        <w:rPr>
          <w:rFonts w:hint="eastAsia"/>
        </w:rPr>
        <w:t>、委托理财、衍生品投资和委托贷款情况</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）委托理财情况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报告期内委托理财概况</w:t>
      </w:r>
    </w:p>
    <w:p w:rsidR="00A9288A" w:rsidRDefault="007A4434">
      <w:pPr>
        <w:jc w:val="right"/>
        <w:rPr>
          <w:rFonts w:eastAsia="Times New Roman" w:cs="Times New Roman"/>
        </w:rPr>
      </w:pPr>
      <w:r>
        <w:rPr>
          <w:rFonts w:hint="eastAsia"/>
        </w:rPr>
        <w:t>单位：万元</w:t>
      </w:r>
    </w:p>
    <w:tbl>
      <w:tblPr>
        <w:tblW w:w="0" w:type="auto"/>
        <w:tblInd w:w="28" w:type="dxa"/>
        <w:tblLayout w:type="fixed"/>
        <w:tblCellMar>
          <w:left w:w="28" w:type="dxa"/>
          <w:right w:w="28" w:type="dxa"/>
        </w:tblCellMar>
        <w:tblLook w:val="0000" w:firstRow="0" w:lastRow="0" w:firstColumn="0" w:lastColumn="0" w:noHBand="0" w:noVBand="0"/>
      </w:tblPr>
      <w:tblGrid>
        <w:gridCol w:w="1868"/>
        <w:gridCol w:w="1962"/>
        <w:gridCol w:w="1981"/>
        <w:gridCol w:w="1909"/>
        <w:gridCol w:w="1847"/>
      </w:tblGrid>
      <w:tr w:rsidR="00A9288A">
        <w:tc>
          <w:tcPr>
            <w:tcW w:w="186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具体类型</w:t>
            </w:r>
          </w:p>
        </w:tc>
        <w:tc>
          <w:tcPr>
            <w:tcW w:w="196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委托理财的资金来源</w:t>
            </w:r>
          </w:p>
        </w:tc>
        <w:tc>
          <w:tcPr>
            <w:tcW w:w="198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委托理财发生额</w:t>
            </w:r>
          </w:p>
        </w:tc>
        <w:tc>
          <w:tcPr>
            <w:tcW w:w="190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未到期余额</w:t>
            </w:r>
          </w:p>
        </w:tc>
        <w:tc>
          <w:tcPr>
            <w:tcW w:w="184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逾期未收回的金额</w:t>
            </w:r>
          </w:p>
        </w:tc>
      </w:tr>
      <w:tr w:rsidR="00A9288A">
        <w:tc>
          <w:tcPr>
            <w:tcW w:w="18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银行理财产品</w:t>
            </w:r>
          </w:p>
        </w:tc>
        <w:tc>
          <w:tcPr>
            <w:tcW w:w="196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自有资金</w:t>
            </w:r>
          </w:p>
        </w:tc>
        <w:tc>
          <w:tcPr>
            <w:tcW w:w="19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23,097.45</w:t>
            </w:r>
          </w:p>
        </w:tc>
        <w:tc>
          <w:tcPr>
            <w:tcW w:w="19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3,850</w:t>
            </w:r>
          </w:p>
        </w:tc>
        <w:tc>
          <w:tcPr>
            <w:tcW w:w="184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r>
      <w:tr w:rsidR="00A9288A">
        <w:tc>
          <w:tcPr>
            <w:tcW w:w="3830"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19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23,097.45</w:t>
            </w:r>
          </w:p>
        </w:tc>
        <w:tc>
          <w:tcPr>
            <w:tcW w:w="19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3,850</w:t>
            </w:r>
          </w:p>
        </w:tc>
        <w:tc>
          <w:tcPr>
            <w:tcW w:w="184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r>
    </w:tbl>
    <w:p w:rsidR="00A9288A" w:rsidRDefault="007A4434">
      <w:pPr>
        <w:jc w:val="left"/>
        <w:rPr>
          <w:rFonts w:eastAsia="Times New Roman" w:cs="Times New Roman"/>
        </w:rPr>
      </w:pPr>
      <w:r>
        <w:rPr>
          <w:rFonts w:hint="eastAsia"/>
        </w:rPr>
        <w:t>单项金额重大或安全性较低、流动性较差、不保本的高风险委托理财具体情况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委托理财出现预期无法收回本金或存在其他可能导致减值的情形</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）衍生品投资情况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公司报告期不存在衍生品投资。</w:t>
      </w:r>
    </w:p>
    <w:p w:rsidR="00A9288A" w:rsidRDefault="007A4434">
      <w:pPr>
        <w:pStyle w:val="Section"/>
        <w:outlineLvl w:val="3"/>
        <w:rPr>
          <w:rFonts w:eastAsia="Times New Roman" w:cs="Times New Roman"/>
        </w:rPr>
      </w:pPr>
      <w:r>
        <w:rPr>
          <w:rFonts w:hint="eastAsia"/>
        </w:rPr>
        <w:t>（</w:t>
      </w:r>
      <w:r>
        <w:rPr>
          <w:rFonts w:cs="Times New Roman"/>
        </w:rPr>
        <w:t>3</w:t>
      </w:r>
      <w:r>
        <w:rPr>
          <w:rFonts w:hint="eastAsia"/>
        </w:rPr>
        <w:t>）委托贷款情况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公司报告期不存在委托贷款。</w:t>
      </w:r>
    </w:p>
    <w:p w:rsidR="00A9288A" w:rsidRDefault="007A4434">
      <w:pPr>
        <w:pStyle w:val="Chapter"/>
        <w:outlineLvl w:val="1"/>
        <w:rPr>
          <w:rFonts w:eastAsia="Times New Roman" w:cs="Times New Roman"/>
        </w:rPr>
      </w:pPr>
      <w:r>
        <w:rPr>
          <w:rFonts w:hint="eastAsia"/>
        </w:rPr>
        <w:t>六、重大资产和股权出售</w:t>
      </w:r>
    </w:p>
    <w:p w:rsidR="00A9288A" w:rsidRDefault="007A4434">
      <w:pPr>
        <w:pStyle w:val="Section"/>
        <w:outlineLvl w:val="2"/>
        <w:rPr>
          <w:rFonts w:eastAsia="Times New Roman" w:cs="Times New Roman"/>
        </w:rPr>
      </w:pPr>
      <w:r>
        <w:rPr>
          <w:rFonts w:cs="Times New Roman"/>
        </w:rPr>
        <w:t>1</w:t>
      </w:r>
      <w:r>
        <w:rPr>
          <w:rFonts w:hint="eastAsia"/>
        </w:rPr>
        <w:t>、出售重大资产情况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公司报告期未出售重大资产。</w:t>
      </w:r>
    </w:p>
    <w:p w:rsidR="00A9288A" w:rsidRDefault="007A4434">
      <w:pPr>
        <w:pStyle w:val="Section"/>
        <w:outlineLvl w:val="2"/>
        <w:rPr>
          <w:rFonts w:eastAsia="Times New Roman" w:cs="Times New Roman"/>
        </w:rPr>
      </w:pPr>
      <w:r>
        <w:rPr>
          <w:rFonts w:cs="Times New Roman"/>
        </w:rPr>
        <w:t>2</w:t>
      </w:r>
      <w:r>
        <w:rPr>
          <w:rFonts w:hint="eastAsia"/>
        </w:rPr>
        <w:t>、出售重大股权情况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Chapter"/>
        <w:outlineLvl w:val="1"/>
        <w:rPr>
          <w:rFonts w:eastAsia="Times New Roman" w:cs="Times New Roman"/>
        </w:rPr>
      </w:pPr>
      <w:r>
        <w:rPr>
          <w:rFonts w:hint="eastAsia"/>
        </w:rPr>
        <w:lastRenderedPageBreak/>
        <w:t>七、主要控股参股公司分析</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主要子公司及对公司净利润影响达</w:t>
      </w:r>
      <w:r>
        <w:rPr>
          <w:rFonts w:cs="Times New Roman"/>
        </w:rPr>
        <w:t>10%</w:t>
      </w:r>
      <w:r>
        <w:rPr>
          <w:rFonts w:hint="eastAsia"/>
        </w:rPr>
        <w:t>以上的参股公司情况</w:t>
      </w:r>
    </w:p>
    <w:p w:rsidR="00A9288A" w:rsidRDefault="007A4434">
      <w:pPr>
        <w:jc w:val="right"/>
        <w:rPr>
          <w:rFonts w:eastAsia="Times New Roman" w:cs="Times New Roman"/>
        </w:rPr>
      </w:pPr>
      <w:r>
        <w:rPr>
          <w:rFonts w:hint="eastAsia"/>
        </w:rPr>
        <w:t>单位：元</w:t>
      </w:r>
    </w:p>
    <w:tbl>
      <w:tblPr>
        <w:tblW w:w="0" w:type="auto"/>
        <w:tblLayout w:type="fixed"/>
        <w:tblCellMar>
          <w:left w:w="28" w:type="dxa"/>
          <w:right w:w="28" w:type="dxa"/>
        </w:tblCellMar>
        <w:tblLook w:val="0000" w:firstRow="0" w:lastRow="0" w:firstColumn="0" w:lastColumn="0" w:noHBand="0" w:noVBand="0"/>
      </w:tblPr>
      <w:tblGrid>
        <w:gridCol w:w="945"/>
        <w:gridCol w:w="924"/>
        <w:gridCol w:w="1103"/>
        <w:gridCol w:w="1001"/>
        <w:gridCol w:w="1181"/>
        <w:gridCol w:w="1181"/>
        <w:gridCol w:w="1175"/>
        <w:gridCol w:w="1092"/>
        <w:gridCol w:w="1092"/>
      </w:tblGrid>
      <w:tr w:rsidR="00A9288A">
        <w:tc>
          <w:tcPr>
            <w:tcW w:w="94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公司名称</w:t>
            </w:r>
          </w:p>
        </w:tc>
        <w:tc>
          <w:tcPr>
            <w:tcW w:w="92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公司类型</w:t>
            </w:r>
          </w:p>
        </w:tc>
        <w:tc>
          <w:tcPr>
            <w:tcW w:w="110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主要业务</w:t>
            </w:r>
          </w:p>
        </w:tc>
        <w:tc>
          <w:tcPr>
            <w:tcW w:w="10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注册资本</w:t>
            </w:r>
          </w:p>
        </w:tc>
        <w:tc>
          <w:tcPr>
            <w:tcW w:w="118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总资产</w:t>
            </w:r>
          </w:p>
        </w:tc>
        <w:tc>
          <w:tcPr>
            <w:tcW w:w="118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净资产</w:t>
            </w:r>
          </w:p>
        </w:tc>
        <w:tc>
          <w:tcPr>
            <w:tcW w:w="117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营业收入</w:t>
            </w:r>
          </w:p>
        </w:tc>
        <w:tc>
          <w:tcPr>
            <w:tcW w:w="109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营业利润</w:t>
            </w:r>
          </w:p>
        </w:tc>
        <w:tc>
          <w:tcPr>
            <w:tcW w:w="109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净利润</w:t>
            </w:r>
          </w:p>
        </w:tc>
      </w:tr>
      <w:tr w:rsidR="00A9288A">
        <w:tc>
          <w:tcPr>
            <w:tcW w:w="94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劳雷海洋系统有限公司</w:t>
            </w:r>
          </w:p>
        </w:tc>
        <w:tc>
          <w:tcPr>
            <w:tcW w:w="92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子公司</w:t>
            </w:r>
          </w:p>
        </w:tc>
        <w:tc>
          <w:tcPr>
            <w:tcW w:w="110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海洋仪器系统集成及技术服务</w:t>
            </w: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2,876,388.40</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328,486,503.16</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193,675,789.52</w:t>
            </w:r>
          </w:p>
        </w:tc>
        <w:tc>
          <w:tcPr>
            <w:tcW w:w="117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118,042,943.04</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20,360,486.76</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17,369,929.52</w:t>
            </w:r>
          </w:p>
        </w:tc>
      </w:tr>
    </w:tbl>
    <w:p w:rsidR="00A9288A" w:rsidRDefault="007A4434">
      <w:pPr>
        <w:jc w:val="left"/>
        <w:rPr>
          <w:rFonts w:eastAsia="Times New Roman" w:cs="Times New Roman"/>
        </w:rPr>
      </w:pPr>
      <w:r>
        <w:rPr>
          <w:rFonts w:hint="eastAsia"/>
        </w:rPr>
        <w:t>报告期内取得和处置子公司的情况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主要控股参股公司情况说明</w:t>
      </w:r>
    </w:p>
    <w:p w:rsidR="00A9288A" w:rsidRDefault="007A4434">
      <w:pPr>
        <w:autoSpaceDE w:val="0"/>
        <w:autoSpaceDN w:val="0"/>
        <w:adjustRightInd w:val="0"/>
        <w:spacing w:before="0" w:after="0"/>
        <w:ind w:firstLine="422"/>
        <w:jc w:val="left"/>
        <w:rPr>
          <w:rFonts w:eastAsia="Times New Roman" w:cs="Times New Roman"/>
          <w:b/>
          <w:bCs/>
          <w:kern w:val="0"/>
          <w:sz w:val="21"/>
          <w:szCs w:val="21"/>
          <w:lang w:val="zh-CN"/>
        </w:rPr>
      </w:pPr>
      <w:r>
        <w:rPr>
          <w:rFonts w:eastAsia="Times New Roman" w:cs="Times New Roman"/>
          <w:b/>
          <w:bCs/>
          <w:kern w:val="0"/>
          <w:sz w:val="21"/>
          <w:szCs w:val="21"/>
          <w:lang w:val="zh-CN"/>
        </w:rPr>
        <w:t xml:space="preserve">1. </w:t>
      </w:r>
      <w:r>
        <w:rPr>
          <w:rFonts w:ascii="宋体" w:hAnsi="宋体" w:hint="eastAsia"/>
          <w:b/>
          <w:bCs/>
          <w:kern w:val="0"/>
          <w:sz w:val="21"/>
          <w:szCs w:val="21"/>
          <w:lang w:val="zh-CN"/>
        </w:rPr>
        <w:t>劳雷海洋系统有限公司</w:t>
      </w:r>
    </w:p>
    <w:p w:rsidR="00A9288A" w:rsidRDefault="007A4434">
      <w:pPr>
        <w:autoSpaceDE w:val="0"/>
        <w:autoSpaceDN w:val="0"/>
        <w:adjustRightInd w:val="0"/>
        <w:spacing w:before="0" w:after="0"/>
        <w:ind w:firstLine="420"/>
        <w:jc w:val="left"/>
        <w:rPr>
          <w:rFonts w:eastAsia="Times New Roman" w:cs="Times New Roman"/>
          <w:kern w:val="0"/>
          <w:sz w:val="21"/>
          <w:szCs w:val="21"/>
          <w:lang w:val="zh-CN"/>
        </w:rPr>
      </w:pPr>
      <w:r>
        <w:rPr>
          <w:rFonts w:ascii="宋体" w:hAnsi="宋体" w:hint="eastAsia"/>
          <w:kern w:val="0"/>
          <w:sz w:val="21"/>
          <w:szCs w:val="21"/>
          <w:lang w:val="zh-CN"/>
        </w:rPr>
        <w:t>注册资本：</w:t>
      </w:r>
      <w:r>
        <w:rPr>
          <w:rFonts w:eastAsia="Times New Roman" w:cs="Times New Roman"/>
          <w:kern w:val="0"/>
          <w:sz w:val="21"/>
          <w:szCs w:val="21"/>
          <w:lang w:val="zh-CN"/>
        </w:rPr>
        <w:t>300</w:t>
      </w:r>
      <w:r>
        <w:rPr>
          <w:rFonts w:ascii="宋体" w:hAnsi="宋体" w:hint="eastAsia"/>
          <w:kern w:val="0"/>
          <w:sz w:val="21"/>
          <w:szCs w:val="21"/>
          <w:lang w:val="zh-CN"/>
        </w:rPr>
        <w:t>万港币</w:t>
      </w:r>
    </w:p>
    <w:p w:rsidR="00A9288A" w:rsidRDefault="007A4434">
      <w:pPr>
        <w:autoSpaceDE w:val="0"/>
        <w:autoSpaceDN w:val="0"/>
        <w:adjustRightInd w:val="0"/>
        <w:spacing w:before="0" w:after="0"/>
        <w:ind w:firstLine="420"/>
        <w:jc w:val="left"/>
        <w:rPr>
          <w:rFonts w:eastAsia="Times New Roman" w:cs="Times New Roman"/>
          <w:kern w:val="0"/>
          <w:sz w:val="21"/>
          <w:szCs w:val="21"/>
          <w:lang w:val="zh-CN"/>
        </w:rPr>
      </w:pPr>
      <w:r>
        <w:rPr>
          <w:rFonts w:ascii="宋体" w:hAnsi="宋体" w:hint="eastAsia"/>
          <w:kern w:val="0"/>
          <w:sz w:val="21"/>
          <w:szCs w:val="21"/>
          <w:lang w:val="zh-CN"/>
        </w:rPr>
        <w:t>法定代表人：申万秋</w:t>
      </w:r>
    </w:p>
    <w:p w:rsidR="00A9288A" w:rsidRDefault="007A4434">
      <w:pPr>
        <w:autoSpaceDE w:val="0"/>
        <w:autoSpaceDN w:val="0"/>
        <w:adjustRightInd w:val="0"/>
        <w:spacing w:before="0" w:after="0"/>
        <w:ind w:firstLine="420"/>
        <w:jc w:val="left"/>
        <w:rPr>
          <w:rFonts w:eastAsia="Times New Roman" w:cs="Times New Roman"/>
          <w:kern w:val="0"/>
          <w:sz w:val="21"/>
          <w:szCs w:val="21"/>
          <w:lang w:val="zh-CN"/>
        </w:rPr>
      </w:pPr>
      <w:r>
        <w:rPr>
          <w:rFonts w:ascii="宋体" w:hAnsi="宋体" w:hint="eastAsia"/>
          <w:kern w:val="0"/>
          <w:sz w:val="21"/>
          <w:szCs w:val="21"/>
          <w:lang w:val="zh-CN"/>
        </w:rPr>
        <w:t>成立日期：</w:t>
      </w:r>
      <w:r>
        <w:rPr>
          <w:rFonts w:eastAsia="Times New Roman" w:cs="Times New Roman"/>
          <w:kern w:val="0"/>
          <w:sz w:val="21"/>
          <w:szCs w:val="21"/>
          <w:lang w:val="zh-CN"/>
        </w:rPr>
        <w:t>2003</w:t>
      </w:r>
      <w:r>
        <w:rPr>
          <w:rFonts w:ascii="宋体" w:hAnsi="宋体" w:hint="eastAsia"/>
          <w:kern w:val="0"/>
          <w:sz w:val="21"/>
          <w:szCs w:val="21"/>
          <w:lang w:val="zh-CN"/>
        </w:rPr>
        <w:t>年</w:t>
      </w:r>
      <w:r>
        <w:rPr>
          <w:rFonts w:eastAsia="Times New Roman" w:cs="Times New Roman"/>
          <w:kern w:val="0"/>
          <w:sz w:val="21"/>
          <w:szCs w:val="21"/>
          <w:lang w:val="zh-CN"/>
        </w:rPr>
        <w:t>8</w:t>
      </w:r>
      <w:r>
        <w:rPr>
          <w:rFonts w:ascii="宋体" w:hAnsi="宋体" w:hint="eastAsia"/>
          <w:kern w:val="0"/>
          <w:sz w:val="21"/>
          <w:szCs w:val="21"/>
          <w:lang w:val="zh-CN"/>
        </w:rPr>
        <w:t>月</w:t>
      </w:r>
      <w:r>
        <w:rPr>
          <w:rFonts w:eastAsia="Times New Roman" w:cs="Times New Roman"/>
          <w:kern w:val="0"/>
          <w:sz w:val="21"/>
          <w:szCs w:val="21"/>
          <w:lang w:val="zh-CN"/>
        </w:rPr>
        <w:t>25</w:t>
      </w:r>
      <w:r>
        <w:rPr>
          <w:rFonts w:ascii="宋体" w:hAnsi="宋体" w:hint="eastAsia"/>
          <w:kern w:val="0"/>
          <w:sz w:val="21"/>
          <w:szCs w:val="21"/>
          <w:lang w:val="zh-CN"/>
        </w:rPr>
        <w:t>日</w:t>
      </w:r>
    </w:p>
    <w:p w:rsidR="00A9288A" w:rsidRDefault="007A4434">
      <w:pPr>
        <w:autoSpaceDE w:val="0"/>
        <w:autoSpaceDN w:val="0"/>
        <w:adjustRightInd w:val="0"/>
        <w:spacing w:before="0" w:after="0"/>
        <w:ind w:firstLine="420"/>
        <w:jc w:val="left"/>
        <w:rPr>
          <w:rFonts w:eastAsia="Times New Roman" w:cs="Times New Roman"/>
          <w:kern w:val="0"/>
          <w:sz w:val="21"/>
          <w:szCs w:val="21"/>
          <w:lang w:val="zh-CN"/>
        </w:rPr>
      </w:pPr>
      <w:r>
        <w:rPr>
          <w:rFonts w:ascii="宋体" w:hAnsi="宋体" w:hint="eastAsia"/>
          <w:kern w:val="0"/>
          <w:sz w:val="21"/>
          <w:szCs w:val="21"/>
          <w:lang w:val="zh-CN"/>
        </w:rPr>
        <w:t>住</w:t>
      </w:r>
      <w:r>
        <w:rPr>
          <w:rFonts w:eastAsia="Times New Roman" w:cs="Times New Roman"/>
          <w:kern w:val="0"/>
          <w:sz w:val="21"/>
          <w:szCs w:val="21"/>
          <w:lang w:val="zh-CN"/>
        </w:rPr>
        <w:t xml:space="preserve"> </w:t>
      </w:r>
      <w:r>
        <w:rPr>
          <w:rFonts w:ascii="宋体" w:hAnsi="宋体" w:hint="eastAsia"/>
          <w:kern w:val="0"/>
          <w:sz w:val="21"/>
          <w:szCs w:val="21"/>
          <w:lang w:val="zh-CN"/>
        </w:rPr>
        <w:t>所：香港筲箕湾南安街</w:t>
      </w:r>
      <w:r>
        <w:rPr>
          <w:rFonts w:eastAsia="Times New Roman" w:cs="Times New Roman"/>
          <w:kern w:val="0"/>
          <w:sz w:val="21"/>
          <w:szCs w:val="21"/>
          <w:lang w:val="zh-CN"/>
        </w:rPr>
        <w:t>83</w:t>
      </w:r>
      <w:r>
        <w:rPr>
          <w:rFonts w:ascii="宋体" w:hAnsi="宋体" w:hint="eastAsia"/>
          <w:kern w:val="0"/>
          <w:sz w:val="21"/>
          <w:szCs w:val="21"/>
          <w:lang w:val="zh-CN"/>
        </w:rPr>
        <w:t>号海安商业中心</w:t>
      </w:r>
      <w:r>
        <w:rPr>
          <w:rFonts w:eastAsia="Times New Roman" w:cs="Times New Roman"/>
          <w:kern w:val="0"/>
          <w:sz w:val="21"/>
          <w:szCs w:val="21"/>
          <w:lang w:val="zh-CN"/>
        </w:rPr>
        <w:t>15</w:t>
      </w:r>
      <w:r>
        <w:rPr>
          <w:rFonts w:ascii="宋体" w:hAnsi="宋体" w:hint="eastAsia"/>
          <w:kern w:val="0"/>
          <w:sz w:val="21"/>
          <w:szCs w:val="21"/>
          <w:lang w:val="zh-CN"/>
        </w:rPr>
        <w:t>层</w:t>
      </w:r>
      <w:r>
        <w:rPr>
          <w:rFonts w:eastAsia="Times New Roman" w:cs="Times New Roman"/>
          <w:kern w:val="0"/>
          <w:sz w:val="21"/>
          <w:szCs w:val="21"/>
          <w:lang w:val="zh-CN"/>
        </w:rPr>
        <w:t>A</w:t>
      </w:r>
      <w:r>
        <w:rPr>
          <w:rFonts w:ascii="宋体" w:hAnsi="宋体" w:hint="eastAsia"/>
          <w:kern w:val="0"/>
          <w:sz w:val="21"/>
          <w:szCs w:val="21"/>
          <w:lang w:val="zh-CN"/>
        </w:rPr>
        <w:t>室</w:t>
      </w:r>
    </w:p>
    <w:p w:rsidR="00A9288A" w:rsidRDefault="007A4434">
      <w:pPr>
        <w:autoSpaceDE w:val="0"/>
        <w:autoSpaceDN w:val="0"/>
        <w:adjustRightInd w:val="0"/>
        <w:spacing w:before="0" w:after="0"/>
        <w:ind w:firstLine="420"/>
        <w:jc w:val="left"/>
        <w:rPr>
          <w:rFonts w:eastAsia="Times New Roman" w:cs="Times New Roman"/>
          <w:kern w:val="0"/>
          <w:sz w:val="21"/>
          <w:szCs w:val="21"/>
          <w:lang w:val="zh-CN"/>
        </w:rPr>
      </w:pPr>
      <w:r>
        <w:rPr>
          <w:rFonts w:ascii="宋体" w:hAnsi="宋体" w:hint="eastAsia"/>
          <w:kern w:val="0"/>
          <w:sz w:val="21"/>
          <w:szCs w:val="21"/>
          <w:lang w:val="zh-CN"/>
        </w:rPr>
        <w:t>股东构成及控制情况：公司持有其</w:t>
      </w:r>
      <w:r>
        <w:rPr>
          <w:rFonts w:eastAsia="Times New Roman" w:cs="Times New Roman"/>
          <w:kern w:val="0"/>
          <w:sz w:val="21"/>
          <w:szCs w:val="21"/>
          <w:lang w:val="zh-CN"/>
        </w:rPr>
        <w:t xml:space="preserve"> 100%</w:t>
      </w:r>
      <w:r>
        <w:rPr>
          <w:rFonts w:ascii="宋体" w:hAnsi="宋体" w:hint="eastAsia"/>
          <w:kern w:val="0"/>
          <w:sz w:val="21"/>
          <w:szCs w:val="21"/>
          <w:lang w:val="zh-CN"/>
        </w:rPr>
        <w:t>股权</w:t>
      </w:r>
      <w:r>
        <w:rPr>
          <w:rFonts w:eastAsia="Times New Roman" w:cs="Times New Roman"/>
          <w:kern w:val="0"/>
          <w:sz w:val="21"/>
          <w:szCs w:val="21"/>
          <w:lang w:val="zh-CN"/>
        </w:rPr>
        <w:t xml:space="preserve"> </w:t>
      </w:r>
    </w:p>
    <w:p w:rsidR="00A9288A" w:rsidRDefault="007A4434">
      <w:pPr>
        <w:autoSpaceDE w:val="0"/>
        <w:autoSpaceDN w:val="0"/>
        <w:adjustRightInd w:val="0"/>
        <w:spacing w:before="0" w:after="0"/>
        <w:ind w:firstLine="420"/>
        <w:jc w:val="left"/>
        <w:rPr>
          <w:rFonts w:eastAsia="Times New Roman" w:cs="Times New Roman"/>
          <w:kern w:val="0"/>
          <w:lang w:val="zh-CN"/>
        </w:rPr>
      </w:pPr>
      <w:r>
        <w:rPr>
          <w:rFonts w:ascii="宋体" w:hAnsi="宋体" w:hint="eastAsia"/>
          <w:kern w:val="0"/>
          <w:sz w:val="21"/>
          <w:szCs w:val="21"/>
          <w:lang w:val="zh-CN"/>
        </w:rPr>
        <w:t>公司定位于海洋调查行业，是海洋调查系统解决方案提供商，主要提供全球高端海洋调查仪器系统集成及技术服务。截止</w:t>
      </w:r>
      <w:r>
        <w:rPr>
          <w:rFonts w:eastAsia="Times New Roman" w:cs="Times New Roman"/>
          <w:kern w:val="0"/>
          <w:sz w:val="21"/>
          <w:szCs w:val="21"/>
          <w:lang w:val="zh-CN"/>
        </w:rPr>
        <w:t>2018</w:t>
      </w:r>
      <w:r>
        <w:rPr>
          <w:rFonts w:ascii="宋体" w:hAnsi="宋体" w:hint="eastAsia"/>
          <w:kern w:val="0"/>
          <w:sz w:val="21"/>
          <w:szCs w:val="21"/>
          <w:lang w:val="zh-CN"/>
        </w:rPr>
        <w:t>年</w:t>
      </w:r>
      <w:r>
        <w:rPr>
          <w:rFonts w:eastAsia="Times New Roman" w:cs="Times New Roman"/>
          <w:kern w:val="0"/>
          <w:sz w:val="21"/>
          <w:szCs w:val="21"/>
          <w:lang w:val="zh-CN"/>
        </w:rPr>
        <w:t>06</w:t>
      </w:r>
      <w:r>
        <w:rPr>
          <w:rFonts w:ascii="宋体" w:hAnsi="宋体" w:hint="eastAsia"/>
          <w:kern w:val="0"/>
          <w:sz w:val="21"/>
          <w:szCs w:val="21"/>
          <w:lang w:val="zh-CN"/>
        </w:rPr>
        <w:t>月</w:t>
      </w:r>
      <w:r>
        <w:rPr>
          <w:rFonts w:eastAsia="Times New Roman" w:cs="Times New Roman"/>
          <w:kern w:val="0"/>
          <w:sz w:val="21"/>
          <w:szCs w:val="21"/>
          <w:lang w:val="zh-CN"/>
        </w:rPr>
        <w:t>30</w:t>
      </w:r>
      <w:r>
        <w:rPr>
          <w:rFonts w:ascii="宋体" w:hAnsi="宋体" w:hint="eastAsia"/>
          <w:kern w:val="0"/>
          <w:sz w:val="21"/>
          <w:szCs w:val="21"/>
          <w:lang w:val="zh-CN"/>
        </w:rPr>
        <w:t>日，公司总资产</w:t>
      </w:r>
      <w:r>
        <w:rPr>
          <w:rFonts w:eastAsia="Times New Roman" w:cs="Times New Roman"/>
          <w:kern w:val="0"/>
          <w:sz w:val="21"/>
          <w:szCs w:val="21"/>
          <w:lang w:val="zh-CN"/>
        </w:rPr>
        <w:t>328,486,503.16</w:t>
      </w:r>
      <w:r>
        <w:rPr>
          <w:rFonts w:ascii="宋体" w:hAnsi="宋体" w:hint="eastAsia"/>
          <w:kern w:val="0"/>
          <w:sz w:val="21"/>
          <w:szCs w:val="21"/>
          <w:lang w:val="zh-CN"/>
        </w:rPr>
        <w:t>元，净资产</w:t>
      </w:r>
      <w:r>
        <w:rPr>
          <w:rFonts w:eastAsia="Times New Roman" w:cs="Times New Roman"/>
          <w:kern w:val="0"/>
          <w:sz w:val="21"/>
          <w:szCs w:val="21"/>
          <w:lang w:val="zh-CN"/>
        </w:rPr>
        <w:t>193,675,789.52</w:t>
      </w:r>
      <w:r>
        <w:rPr>
          <w:rFonts w:ascii="宋体" w:hAnsi="宋体" w:hint="eastAsia"/>
          <w:kern w:val="0"/>
          <w:sz w:val="21"/>
          <w:szCs w:val="21"/>
          <w:lang w:val="zh-CN"/>
        </w:rPr>
        <w:t>元，营业收入</w:t>
      </w:r>
      <w:r>
        <w:rPr>
          <w:rFonts w:eastAsia="Times New Roman" w:cs="Times New Roman"/>
          <w:kern w:val="0"/>
          <w:sz w:val="21"/>
          <w:szCs w:val="21"/>
          <w:lang w:val="zh-CN"/>
        </w:rPr>
        <w:t>118,042,943.04</w:t>
      </w:r>
      <w:r>
        <w:rPr>
          <w:rFonts w:ascii="宋体" w:hAnsi="宋体" w:hint="eastAsia"/>
          <w:kern w:val="0"/>
          <w:sz w:val="21"/>
          <w:szCs w:val="21"/>
          <w:lang w:val="zh-CN"/>
        </w:rPr>
        <w:t>元，净利润</w:t>
      </w:r>
      <w:r>
        <w:rPr>
          <w:rFonts w:eastAsia="Times New Roman" w:cs="Times New Roman"/>
          <w:kern w:val="0"/>
          <w:sz w:val="21"/>
          <w:szCs w:val="21"/>
          <w:lang w:val="zh-CN"/>
        </w:rPr>
        <w:t>17,369,929.52</w:t>
      </w:r>
      <w:r>
        <w:rPr>
          <w:rFonts w:ascii="宋体" w:hAnsi="宋体" w:hint="eastAsia"/>
          <w:kern w:val="0"/>
          <w:sz w:val="21"/>
          <w:szCs w:val="21"/>
          <w:lang w:val="zh-CN"/>
        </w:rPr>
        <w:t>元。</w:t>
      </w:r>
    </w:p>
    <w:p w:rsidR="00A9288A" w:rsidRDefault="007A4434">
      <w:pPr>
        <w:pStyle w:val="Chapter"/>
        <w:outlineLvl w:val="1"/>
        <w:rPr>
          <w:rFonts w:eastAsia="Times New Roman" w:cs="Times New Roman"/>
        </w:rPr>
      </w:pPr>
      <w:r>
        <w:rPr>
          <w:rFonts w:hint="eastAsia"/>
        </w:rPr>
        <w:t>八、公司控制的结构化主体情况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Chapter"/>
        <w:outlineLvl w:val="1"/>
        <w:rPr>
          <w:rFonts w:eastAsia="Times New Roman" w:cs="Times New Roman"/>
        </w:rPr>
      </w:pPr>
      <w:r>
        <w:rPr>
          <w:rFonts w:hint="eastAsia"/>
        </w:rPr>
        <w:t>九、对</w:t>
      </w:r>
      <w:r>
        <w:rPr>
          <w:rFonts w:cs="Times New Roman"/>
        </w:rPr>
        <w:t>2018</w:t>
      </w:r>
      <w:r>
        <w:rPr>
          <w:rFonts w:hint="eastAsia"/>
        </w:rPr>
        <w:t>年</w:t>
      </w:r>
      <w:r>
        <w:rPr>
          <w:rFonts w:cs="Times New Roman"/>
        </w:rPr>
        <w:t>1-9</w:t>
      </w:r>
      <w:r>
        <w:rPr>
          <w:rFonts w:hint="eastAsia"/>
        </w:rPr>
        <w:t>月经营业绩的预计</w:t>
      </w:r>
    </w:p>
    <w:p w:rsidR="00A9288A" w:rsidRDefault="007A4434">
      <w:pPr>
        <w:jc w:val="left"/>
        <w:rPr>
          <w:rFonts w:eastAsia="Times New Roman" w:cs="Times New Roman"/>
        </w:rPr>
      </w:pPr>
      <w:r>
        <w:rPr>
          <w:rFonts w:hint="eastAsia"/>
        </w:rPr>
        <w:t>预测年初至下一报告期期末的累计净利润可能为亏损或者与上年同期相比发生大幅度变动的警示及原因说明</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Chapter"/>
        <w:outlineLvl w:val="1"/>
        <w:rPr>
          <w:rFonts w:eastAsia="Times New Roman" w:cs="Times New Roman"/>
        </w:rPr>
      </w:pPr>
      <w:r>
        <w:rPr>
          <w:rFonts w:hint="eastAsia"/>
        </w:rPr>
        <w:t>十、公司面临的风险和应对措施</w:t>
      </w:r>
    </w:p>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ascii="宋体" w:hAnsi="宋体" w:hint="eastAsia"/>
          <w:b/>
          <w:bCs/>
          <w:kern w:val="0"/>
          <w:sz w:val="21"/>
          <w:szCs w:val="21"/>
          <w:lang w:val="zh-CN"/>
        </w:rPr>
        <w:t>（一）集团管理复杂性以及整合难度增加的风险</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近几年，公司围绕主营业务，进行行业资源整合，并购速度的加快、新业务的逐步开拓、事业版图的大范围扩张给公司注入了新的活力与增长点。但各标的公司具有自身的独特性，与公司整合尚存在一系列的不确定性。未来公司将根据公司的战略布局以及行业发展的趋势及需求进行相应的投资并购，不断完善产业布局。公司若不能进一步提高管理水平，适应资产、人员和业务规模的进一步增长，则部分新投资并购公司与海兰信之间可能因文化和管理差异导致整合问题，有可能影响新投资、并购公司的正常运作与经营目标的实现，公司将面临业务范围扩大、集团化管控等带来的管理风险。</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为了有针对性的应对管理风险，</w:t>
      </w:r>
      <w:r>
        <w:rPr>
          <w:rFonts w:eastAsia="Times New Roman" w:cs="Times New Roman"/>
          <w:kern w:val="0"/>
          <w:sz w:val="21"/>
          <w:szCs w:val="21"/>
          <w:lang w:val="zh-CN"/>
        </w:rPr>
        <w:t>2018</w:t>
      </w:r>
      <w:r>
        <w:rPr>
          <w:rFonts w:ascii="宋体" w:hAnsi="宋体" w:hint="eastAsia"/>
          <w:kern w:val="0"/>
          <w:sz w:val="21"/>
          <w:szCs w:val="21"/>
          <w:lang w:val="zh-CN"/>
        </w:rPr>
        <w:t>年，公司将进一步聚焦核心业务，积累差异化优势；优化组织结构与流程，推进项目化管理；在公司核心班子基础上，推动事业合伙人机制的建立。继续推行有效的绩效考核与激励机制，激发员工热情，让组织持续充满活力和创新精神，满足公司业务跨越式发展对高端人才</w:t>
      </w:r>
      <w:r>
        <w:rPr>
          <w:rFonts w:ascii="宋体" w:hAnsi="宋体" w:hint="eastAsia"/>
          <w:kern w:val="0"/>
          <w:sz w:val="21"/>
          <w:szCs w:val="21"/>
          <w:lang w:val="zh-CN"/>
        </w:rPr>
        <w:lastRenderedPageBreak/>
        <w:t>的需求；搭建起公司基本的信息管理平台，加深员工的企业认同感，提高集团整体化规范管理的效率，确保公司未来持续健康的发展。</w:t>
      </w:r>
    </w:p>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ascii="宋体" w:hAnsi="宋体" w:hint="eastAsia"/>
          <w:b/>
          <w:bCs/>
          <w:kern w:val="0"/>
          <w:sz w:val="21"/>
          <w:szCs w:val="21"/>
          <w:lang w:val="zh-CN"/>
        </w:rPr>
        <w:t>（二）新技术研发风险</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随着智能航海和智慧海洋的不断发展和深化，公司作为科技型企业准确把握智能航海和智慧海洋发展的趋势，积极进行技术创新和产品研发工作。而目前公司的研发产品大部分为国家空白且急需的高技术产品，技术难度大，开发周期长，研发投入高等。针对上述风险，公司通过长期技术积累和发展，培养了高水平的国内国外的技术研发和设计团队，形成了突出的自主创新能力，并拥有真正的自主知识产权。</w:t>
      </w:r>
      <w:r>
        <w:rPr>
          <w:rFonts w:eastAsia="Times New Roman" w:cs="Times New Roman"/>
          <w:kern w:val="0"/>
          <w:sz w:val="21"/>
          <w:szCs w:val="21"/>
          <w:lang w:val="zh-CN"/>
        </w:rPr>
        <w:t>2018</w:t>
      </w:r>
      <w:r>
        <w:rPr>
          <w:rFonts w:ascii="宋体" w:hAnsi="宋体" w:hint="eastAsia"/>
          <w:kern w:val="0"/>
          <w:sz w:val="21"/>
          <w:szCs w:val="21"/>
          <w:lang w:val="zh-CN"/>
        </w:rPr>
        <w:t>年，公司将进一步加大研发投入，补充高水平研发人员，继续完善技术研发体系，并加强与高校、科研院所的交流与合作，增强自主创新能力，紧抓市场技术趋势，充分发挥公司及下属子公司协同效应，保持公司处于技术领先水平，提高公司核心竞争力。</w:t>
      </w:r>
    </w:p>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ascii="宋体" w:hAnsi="宋体" w:hint="eastAsia"/>
          <w:b/>
          <w:bCs/>
          <w:kern w:val="0"/>
          <w:sz w:val="21"/>
          <w:szCs w:val="21"/>
          <w:lang w:val="zh-CN"/>
        </w:rPr>
        <w:t>（三）国际经济形势变动风险</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由于公司有部分海外子公司，并且在多个海外城市设有服务网点，国际经济形势变动会对公司产生直接的影响。中美贸易战以及美联储加息，未来国际经济形势可能会延续波动趋势并不平稳，外国的货币政策和财政政策会给公司海外投资、财务并表带来一定风险。公司拥有海外子公司以及部分海外业务，汇率的变动可能带来汇兑损失，对公司的经营成果带来不利影响。</w:t>
      </w:r>
    </w:p>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ascii="宋体" w:hAnsi="宋体" w:hint="eastAsia"/>
          <w:b/>
          <w:bCs/>
          <w:kern w:val="0"/>
          <w:sz w:val="21"/>
          <w:szCs w:val="21"/>
          <w:lang w:val="zh-CN"/>
        </w:rPr>
        <w:t>（四）商誉减值风险</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公司在并购过程中形成一定的商誉，若被并购公司在市场拓展、内部管理等方面受不利因素影响，将会导致盈利不及预期，继而面临潜在的商誉减值风险，将对公司未来的经营业绩造成不利影响。对此，公司积极加强公司并购后资源整合与文化融合，以形成协同效应，努力实现预期盈利目标，最大限度地降低商誉减值风险。</w:t>
      </w:r>
    </w:p>
    <w:p w:rsidR="00A9288A" w:rsidRDefault="007A4434">
      <w:pPr>
        <w:autoSpaceDE w:val="0"/>
        <w:autoSpaceDN w:val="0"/>
        <w:adjustRightInd w:val="0"/>
        <w:spacing w:before="0" w:after="0"/>
        <w:ind w:firstLine="422"/>
        <w:rPr>
          <w:rFonts w:eastAsia="Times New Roman" w:cs="Times New Roman"/>
          <w:b/>
          <w:bCs/>
          <w:kern w:val="0"/>
          <w:sz w:val="21"/>
          <w:szCs w:val="21"/>
          <w:lang w:val="zh-CN"/>
        </w:rPr>
      </w:pPr>
      <w:r>
        <w:rPr>
          <w:rFonts w:ascii="宋体" w:hAnsi="宋体" w:hint="eastAsia"/>
          <w:b/>
          <w:bCs/>
          <w:kern w:val="0"/>
          <w:sz w:val="21"/>
          <w:szCs w:val="21"/>
          <w:lang w:val="zh-CN"/>
        </w:rPr>
        <w:t>（五）应收账款风险</w:t>
      </w:r>
    </w:p>
    <w:p w:rsidR="00A9288A" w:rsidRDefault="007A4434">
      <w:pPr>
        <w:autoSpaceDE w:val="0"/>
        <w:autoSpaceDN w:val="0"/>
        <w:adjustRightInd w:val="0"/>
        <w:spacing w:before="0" w:after="0"/>
        <w:ind w:firstLine="420"/>
        <w:rPr>
          <w:rFonts w:eastAsia="Times New Roman" w:cs="Times New Roman"/>
          <w:kern w:val="0"/>
          <w:sz w:val="21"/>
          <w:szCs w:val="21"/>
          <w:lang w:val="zh-CN"/>
        </w:rPr>
      </w:pPr>
      <w:r>
        <w:rPr>
          <w:rFonts w:ascii="宋体" w:hAnsi="宋体" w:hint="eastAsia"/>
          <w:kern w:val="0"/>
          <w:sz w:val="21"/>
          <w:szCs w:val="21"/>
          <w:lang w:val="zh-CN"/>
        </w:rPr>
        <w:t>应收账款水平过高将影响公司的资金周转，账龄较长存在坏账的风险。目前，公司的应收账款账龄大都在</w:t>
      </w:r>
      <w:r>
        <w:rPr>
          <w:rFonts w:eastAsia="Times New Roman" w:cs="Times New Roman"/>
          <w:kern w:val="0"/>
          <w:sz w:val="21"/>
          <w:szCs w:val="21"/>
          <w:lang w:val="zh-CN"/>
        </w:rPr>
        <w:t>1</w:t>
      </w:r>
      <w:r>
        <w:rPr>
          <w:rFonts w:ascii="宋体" w:hAnsi="宋体" w:hint="eastAsia"/>
          <w:kern w:val="0"/>
          <w:sz w:val="21"/>
          <w:szCs w:val="21"/>
          <w:lang w:val="zh-CN"/>
        </w:rPr>
        <w:t>年以内，且公司给予信用账期的客户多为大型的行业内优质客户，客户信用良好，坏账风险较低。公司已建立信用风险控制制度，对于新客户严格评估客户信用状况，谨慎给予信用账期；对现有客户，通过账龄分析和动态的信用额度控制，信用风险在可控范围。此外，公司通过加大客户对账频度、建立健全销售回款考核与激励机制，努力控制应收账款的规模，加快应收账款的回收，控制应收账款较高的风险。</w:t>
      </w:r>
    </w:p>
    <w:p w:rsidR="00A9288A" w:rsidRDefault="00A9288A">
      <w:pPr>
        <w:autoSpaceDE w:val="0"/>
        <w:autoSpaceDN w:val="0"/>
        <w:adjustRightInd w:val="0"/>
        <w:spacing w:before="0" w:after="0"/>
        <w:jc w:val="left"/>
        <w:rPr>
          <w:rFonts w:cs="Times New Roman"/>
          <w:kern w:val="0"/>
          <w:sz w:val="24"/>
          <w:szCs w:val="24"/>
        </w:rPr>
        <w:sectPr w:rsidR="00A9288A">
          <w:pgSz w:w="11906" w:h="16838"/>
          <w:pgMar w:top="1440" w:right="1134" w:bottom="1440" w:left="1134" w:header="851" w:footer="992" w:gutter="0"/>
          <w:cols w:space="720"/>
          <w:docGrid w:type="lines" w:linePitch="312"/>
        </w:sectPr>
      </w:pPr>
    </w:p>
    <w:p w:rsidR="00A9288A" w:rsidRDefault="007A4434">
      <w:pPr>
        <w:pStyle w:val="a6"/>
        <w:outlineLvl w:val="0"/>
        <w:rPr>
          <w:rFonts w:eastAsia="Times New Roman" w:cs="Times New Roman"/>
        </w:rPr>
      </w:pPr>
      <w:bookmarkStart w:id="5" w:name="_Toc521663256"/>
      <w:r>
        <w:rPr>
          <w:rFonts w:hint="eastAsia"/>
        </w:rPr>
        <w:lastRenderedPageBreak/>
        <w:t>第五节</w:t>
      </w:r>
      <w:r>
        <w:rPr>
          <w:rFonts w:cs="Times New Roman"/>
        </w:rPr>
        <w:t xml:space="preserve"> </w:t>
      </w:r>
      <w:r>
        <w:rPr>
          <w:rFonts w:hint="eastAsia"/>
        </w:rPr>
        <w:t>重要事项</w:t>
      </w:r>
      <w:bookmarkEnd w:id="5"/>
    </w:p>
    <w:p w:rsidR="00A9288A" w:rsidRDefault="007A4434">
      <w:pPr>
        <w:pStyle w:val="Chapter"/>
        <w:outlineLvl w:val="1"/>
        <w:rPr>
          <w:rFonts w:eastAsia="Times New Roman" w:cs="Times New Roman"/>
        </w:rPr>
      </w:pPr>
      <w:r>
        <w:rPr>
          <w:rFonts w:hint="eastAsia"/>
        </w:rPr>
        <w:t>一、报告期内召开的年度股东大会和临时股东大会的有关情况</w:t>
      </w:r>
    </w:p>
    <w:p w:rsidR="00A9288A" w:rsidRDefault="007A4434">
      <w:pPr>
        <w:pStyle w:val="Section"/>
        <w:outlineLvl w:val="2"/>
        <w:rPr>
          <w:rFonts w:eastAsia="Times New Roman" w:cs="Times New Roman"/>
        </w:rPr>
      </w:pPr>
      <w:r>
        <w:rPr>
          <w:rFonts w:cs="Times New Roman"/>
        </w:rPr>
        <w:t>1</w:t>
      </w:r>
      <w:r>
        <w:rPr>
          <w:rFonts w:hint="eastAsia"/>
        </w:rPr>
        <w:t>、本报告期股东大会情况</w:t>
      </w:r>
    </w:p>
    <w:tbl>
      <w:tblPr>
        <w:tblW w:w="0" w:type="auto"/>
        <w:tblInd w:w="28" w:type="dxa"/>
        <w:tblLayout w:type="fixed"/>
        <w:tblCellMar>
          <w:left w:w="28" w:type="dxa"/>
          <w:right w:w="28" w:type="dxa"/>
        </w:tblCellMar>
        <w:tblLook w:val="0000" w:firstRow="0" w:lastRow="0" w:firstColumn="0" w:lastColumn="0" w:noHBand="0" w:noVBand="0"/>
      </w:tblPr>
      <w:tblGrid>
        <w:gridCol w:w="1596"/>
        <w:gridCol w:w="1594"/>
        <w:gridCol w:w="1594"/>
        <w:gridCol w:w="1594"/>
        <w:gridCol w:w="1594"/>
        <w:gridCol w:w="1594"/>
      </w:tblGrid>
      <w:tr w:rsidR="00A9288A">
        <w:tc>
          <w:tcPr>
            <w:tcW w:w="159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会议届次</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会议类型</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投资者参与比例</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召开日期</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披露日期</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披露索引</w:t>
            </w:r>
          </w:p>
        </w:tc>
      </w:tr>
      <w:tr w:rsidR="00A9288A">
        <w:tc>
          <w:tcPr>
            <w:tcW w:w="15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2018</w:t>
            </w:r>
            <w:r>
              <w:rPr>
                <w:rFonts w:hint="eastAsia"/>
              </w:rPr>
              <w:t>年第一次临时股东大会</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临时股东大会</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41.25%</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2018</w:t>
            </w:r>
            <w:r>
              <w:rPr>
                <w:rFonts w:hint="eastAsia"/>
              </w:rPr>
              <w:t>年</w:t>
            </w:r>
            <w:r>
              <w:rPr>
                <w:rFonts w:cs="Times New Roman"/>
              </w:rPr>
              <w:t>02</w:t>
            </w:r>
            <w:r>
              <w:rPr>
                <w:rFonts w:hint="eastAsia"/>
              </w:rPr>
              <w:t>月</w:t>
            </w:r>
            <w:r>
              <w:rPr>
                <w:rFonts w:cs="Times New Roman"/>
              </w:rPr>
              <w:t>22</w:t>
            </w:r>
            <w:r>
              <w:rPr>
                <w:rFonts w:hint="eastAsia"/>
              </w:rPr>
              <w:t>日</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2018</w:t>
            </w:r>
            <w:r>
              <w:rPr>
                <w:rFonts w:hint="eastAsia"/>
              </w:rPr>
              <w:t>年</w:t>
            </w:r>
            <w:r>
              <w:rPr>
                <w:rFonts w:cs="Times New Roman"/>
              </w:rPr>
              <w:t>02</w:t>
            </w:r>
            <w:r>
              <w:rPr>
                <w:rFonts w:hint="eastAsia"/>
              </w:rPr>
              <w:t>月</w:t>
            </w:r>
            <w:r>
              <w:rPr>
                <w:rFonts w:cs="Times New Roman"/>
              </w:rPr>
              <w:t>22</w:t>
            </w:r>
            <w:r>
              <w:rPr>
                <w:rFonts w:hint="eastAsia"/>
              </w:rPr>
              <w:t>日</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hint="eastAsia"/>
              </w:rPr>
              <w:t>巨潮资讯网</w:t>
            </w:r>
            <w:r>
              <w:rPr>
                <w:rFonts w:cs="Times New Roman"/>
              </w:rPr>
              <w:t>2018-019</w:t>
            </w:r>
          </w:p>
        </w:tc>
      </w:tr>
      <w:tr w:rsidR="00A9288A">
        <w:tc>
          <w:tcPr>
            <w:tcW w:w="15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2017</w:t>
            </w:r>
            <w:r>
              <w:rPr>
                <w:rFonts w:hint="eastAsia"/>
              </w:rPr>
              <w:t>年度股东大会</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年度股东大会</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40.46%</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2018</w:t>
            </w:r>
            <w:r>
              <w:rPr>
                <w:rFonts w:hint="eastAsia"/>
              </w:rPr>
              <w:t>年</w:t>
            </w:r>
            <w:r>
              <w:rPr>
                <w:rFonts w:cs="Times New Roman"/>
              </w:rPr>
              <w:t>05</w:t>
            </w:r>
            <w:r>
              <w:rPr>
                <w:rFonts w:hint="eastAsia"/>
              </w:rPr>
              <w:t>月</w:t>
            </w:r>
            <w:r>
              <w:rPr>
                <w:rFonts w:cs="Times New Roman"/>
              </w:rPr>
              <w:t>15</w:t>
            </w:r>
            <w:r>
              <w:rPr>
                <w:rFonts w:hint="eastAsia"/>
              </w:rPr>
              <w:t>日</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2018</w:t>
            </w:r>
            <w:r>
              <w:rPr>
                <w:rFonts w:hint="eastAsia"/>
              </w:rPr>
              <w:t>年</w:t>
            </w:r>
            <w:r>
              <w:rPr>
                <w:rFonts w:cs="Times New Roman"/>
              </w:rPr>
              <w:t>05</w:t>
            </w:r>
            <w:r>
              <w:rPr>
                <w:rFonts w:hint="eastAsia"/>
              </w:rPr>
              <w:t>月</w:t>
            </w:r>
            <w:r>
              <w:rPr>
                <w:rFonts w:cs="Times New Roman"/>
              </w:rPr>
              <w:t>15</w:t>
            </w:r>
            <w:r>
              <w:rPr>
                <w:rFonts w:hint="eastAsia"/>
              </w:rPr>
              <w:t>日</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hint="eastAsia"/>
              </w:rPr>
              <w:t>巨潮资讯网</w:t>
            </w:r>
            <w:r>
              <w:rPr>
                <w:rFonts w:cs="Times New Roman"/>
              </w:rPr>
              <w:t>2018-059</w:t>
            </w:r>
          </w:p>
        </w:tc>
      </w:tr>
    </w:tbl>
    <w:p w:rsidR="00A9288A" w:rsidRDefault="007A4434">
      <w:pPr>
        <w:pStyle w:val="Section"/>
        <w:outlineLvl w:val="2"/>
        <w:rPr>
          <w:rFonts w:eastAsia="Times New Roman" w:cs="Times New Roman"/>
        </w:rPr>
      </w:pPr>
      <w:r>
        <w:rPr>
          <w:rFonts w:cs="Times New Roman"/>
        </w:rPr>
        <w:t>2</w:t>
      </w:r>
      <w:r>
        <w:rPr>
          <w:rFonts w:hint="eastAsia"/>
        </w:rPr>
        <w:t>、表决权恢复的优先股股东请求召开临时股东大会</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Chapter"/>
        <w:outlineLvl w:val="1"/>
        <w:rPr>
          <w:rFonts w:eastAsia="Times New Roman" w:cs="Times New Roman"/>
        </w:rPr>
      </w:pPr>
      <w:r>
        <w:rPr>
          <w:rFonts w:hint="eastAsia"/>
        </w:rPr>
        <w:t>二、本报告期利润分配及资本公积金转增股本预案</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公司计划半年度不派发现金红利，不送红股，不以公积金转增股本。</w:t>
      </w:r>
    </w:p>
    <w:p w:rsidR="00A9288A" w:rsidRDefault="007A4434">
      <w:pPr>
        <w:pStyle w:val="Chapter"/>
        <w:outlineLvl w:val="1"/>
        <w:rPr>
          <w:rFonts w:eastAsia="Times New Roman" w:cs="Times New Roman"/>
        </w:rPr>
      </w:pPr>
      <w:r>
        <w:rPr>
          <w:rFonts w:hint="eastAsia"/>
        </w:rPr>
        <w:t>三、公司实际控制人、股东、关联方、收购人以及公司等承诺相关方在报告期内履行完毕及截至报告期末超期未履行完毕的承诺事项</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tbl>
      <w:tblPr>
        <w:tblW w:w="0" w:type="auto"/>
        <w:tblLayout w:type="fixed"/>
        <w:tblCellMar>
          <w:left w:w="28" w:type="dxa"/>
          <w:right w:w="28" w:type="dxa"/>
        </w:tblCellMar>
        <w:tblLook w:val="0000" w:firstRow="0" w:lastRow="0" w:firstColumn="0" w:lastColumn="0" w:noHBand="0" w:noVBand="0"/>
      </w:tblPr>
      <w:tblGrid>
        <w:gridCol w:w="1021"/>
        <w:gridCol w:w="708"/>
        <w:gridCol w:w="710"/>
        <w:gridCol w:w="5388"/>
        <w:gridCol w:w="851"/>
        <w:gridCol w:w="566"/>
        <w:gridCol w:w="450"/>
      </w:tblGrid>
      <w:tr w:rsidR="00A9288A">
        <w:tc>
          <w:tcPr>
            <w:tcW w:w="102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承诺事由</w:t>
            </w:r>
          </w:p>
        </w:tc>
        <w:tc>
          <w:tcPr>
            <w:tcW w:w="70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承诺方</w:t>
            </w:r>
          </w:p>
        </w:tc>
        <w:tc>
          <w:tcPr>
            <w:tcW w:w="71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承诺类型</w:t>
            </w:r>
          </w:p>
        </w:tc>
        <w:tc>
          <w:tcPr>
            <w:tcW w:w="538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承诺内容</w:t>
            </w:r>
          </w:p>
        </w:tc>
        <w:tc>
          <w:tcPr>
            <w:tcW w:w="85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承诺时间</w:t>
            </w:r>
          </w:p>
        </w:tc>
        <w:tc>
          <w:tcPr>
            <w:tcW w:w="5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承诺期限</w:t>
            </w:r>
          </w:p>
        </w:tc>
        <w:tc>
          <w:tcPr>
            <w:tcW w:w="4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履行情况</w:t>
            </w:r>
          </w:p>
        </w:tc>
      </w:tr>
      <w:tr w:rsidR="00A9288A">
        <w:tc>
          <w:tcPr>
            <w:tcW w:w="102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收购报告书或权益变动报告书中所作承诺</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c>
          <w:tcPr>
            <w:tcW w:w="7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c>
          <w:tcPr>
            <w:tcW w:w="538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c>
          <w:tcPr>
            <w:tcW w:w="5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r>
      <w:tr w:rsidR="00A9288A">
        <w:tc>
          <w:tcPr>
            <w:tcW w:w="102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资产重组时所作承诺</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申万秋</w:t>
            </w:r>
          </w:p>
        </w:tc>
        <w:tc>
          <w:tcPr>
            <w:tcW w:w="7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股份限售承诺</w:t>
            </w:r>
          </w:p>
        </w:tc>
        <w:tc>
          <w:tcPr>
            <w:tcW w:w="538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w:t>
            </w:r>
            <w:r>
              <w:rPr>
                <w:rFonts w:hint="eastAsia"/>
              </w:rPr>
              <w:t>申万秋承诺：</w:t>
            </w:r>
            <w:r>
              <w:rPr>
                <w:rFonts w:cs="Times New Roman"/>
              </w:rPr>
              <w:t>1</w:t>
            </w:r>
            <w:r>
              <w:rPr>
                <w:rFonts w:hint="eastAsia"/>
              </w:rPr>
              <w:t>、本人因本次发行股份购买资产事宜所认购的上市公司股份，自该等股份发行上市之日起</w:t>
            </w:r>
            <w:r>
              <w:rPr>
                <w:rFonts w:cs="Times New Roman"/>
              </w:rPr>
              <w:t>36</w:t>
            </w:r>
            <w:r>
              <w:rPr>
                <w:rFonts w:hint="eastAsia"/>
              </w:rPr>
              <w:t>个月内且标的业绩承诺期最后一年年度《专项审核报告》及《减值测试报告》已经出具并履行完毕业绩补偿义务前不转让，之后按照中国证券监督管理委员会及深圳证券交易所的有关规定执行。</w:t>
            </w:r>
            <w:r>
              <w:rPr>
                <w:rFonts w:cs="Times New Roman"/>
              </w:rPr>
              <w:t>2</w:t>
            </w:r>
            <w:r>
              <w:rPr>
                <w:rFonts w:hint="eastAsia"/>
              </w:rPr>
              <w:t>、本次交易完成后</w:t>
            </w:r>
            <w:r>
              <w:rPr>
                <w:rFonts w:cs="Times New Roman"/>
              </w:rPr>
              <w:t>6</w:t>
            </w:r>
            <w:r>
              <w:rPr>
                <w:rFonts w:hint="eastAsia"/>
              </w:rPr>
              <w:t>个月内如上市公司股票连续</w:t>
            </w:r>
            <w:r>
              <w:rPr>
                <w:rFonts w:cs="Times New Roman"/>
              </w:rPr>
              <w:t>20</w:t>
            </w:r>
            <w:r>
              <w:rPr>
                <w:rFonts w:hint="eastAsia"/>
              </w:rPr>
              <w:t>个交易日的收盘价低于发行价，或者交易完成后</w:t>
            </w:r>
            <w:r>
              <w:rPr>
                <w:rFonts w:cs="Times New Roman"/>
              </w:rPr>
              <w:t>6</w:t>
            </w:r>
            <w:r>
              <w:rPr>
                <w:rFonts w:hint="eastAsia"/>
              </w:rPr>
              <w:t>个月期末收盘价低于发行价的，本人持有公司股票的锁定期自动延长</w:t>
            </w:r>
            <w:r>
              <w:rPr>
                <w:rFonts w:cs="Times New Roman"/>
              </w:rPr>
              <w:t>6</w:t>
            </w:r>
            <w:r>
              <w:rPr>
                <w:rFonts w:hint="eastAsia"/>
              </w:rPr>
              <w:t>个月。</w:t>
            </w:r>
            <w:r>
              <w:rPr>
                <w:rFonts w:cs="Times New Roman"/>
              </w:rPr>
              <w:t>"</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2016</w:t>
            </w:r>
            <w:r>
              <w:rPr>
                <w:rFonts w:hint="eastAsia"/>
              </w:rPr>
              <w:t>年</w:t>
            </w:r>
            <w:r>
              <w:rPr>
                <w:rFonts w:cs="Times New Roman"/>
              </w:rPr>
              <w:t>01</w:t>
            </w:r>
            <w:r>
              <w:rPr>
                <w:rFonts w:hint="eastAsia"/>
              </w:rPr>
              <w:t>月</w:t>
            </w:r>
            <w:r>
              <w:rPr>
                <w:rFonts w:cs="Times New Roman"/>
              </w:rPr>
              <w:t>08</w:t>
            </w:r>
            <w:r>
              <w:rPr>
                <w:rFonts w:hint="eastAsia"/>
              </w:rPr>
              <w:t>日</w:t>
            </w:r>
          </w:p>
        </w:tc>
        <w:tc>
          <w:tcPr>
            <w:tcW w:w="5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2019-01-07</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正常履行中</w:t>
            </w:r>
          </w:p>
        </w:tc>
      </w:tr>
      <w:tr w:rsidR="00A9288A">
        <w:tc>
          <w:tcPr>
            <w:tcW w:w="102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lef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上海言</w:t>
            </w:r>
            <w:r>
              <w:rPr>
                <w:rFonts w:hint="eastAsia"/>
              </w:rPr>
              <w:lastRenderedPageBreak/>
              <w:t>盛投资合伙企业（有限合伙）</w:t>
            </w:r>
          </w:p>
        </w:tc>
        <w:tc>
          <w:tcPr>
            <w:tcW w:w="7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lastRenderedPageBreak/>
              <w:t>股份限</w:t>
            </w:r>
            <w:r>
              <w:rPr>
                <w:rFonts w:hint="eastAsia"/>
              </w:rPr>
              <w:lastRenderedPageBreak/>
              <w:t>售承诺</w:t>
            </w:r>
          </w:p>
        </w:tc>
        <w:tc>
          <w:tcPr>
            <w:tcW w:w="538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lastRenderedPageBreak/>
              <w:t>"</w:t>
            </w:r>
            <w:r>
              <w:rPr>
                <w:rFonts w:hint="eastAsia"/>
              </w:rPr>
              <w:t>上海言盛承诺：</w:t>
            </w:r>
            <w:r>
              <w:rPr>
                <w:rFonts w:cs="Times New Roman"/>
              </w:rPr>
              <w:t>1</w:t>
            </w:r>
            <w:r>
              <w:rPr>
                <w:rFonts w:hint="eastAsia"/>
              </w:rPr>
              <w:t>、本合伙企业因本次发行股份购买资产事宜所认购</w:t>
            </w:r>
            <w:r>
              <w:rPr>
                <w:rFonts w:hint="eastAsia"/>
              </w:rPr>
              <w:lastRenderedPageBreak/>
              <w:t>的上市公司股份，自该等股份发行上市之日起</w:t>
            </w:r>
            <w:r>
              <w:rPr>
                <w:rFonts w:cs="Times New Roman"/>
              </w:rPr>
              <w:t>36</w:t>
            </w:r>
            <w:r>
              <w:rPr>
                <w:rFonts w:hint="eastAsia"/>
              </w:rPr>
              <w:t>个月内不转让，之后按照中国证券监督管理委员会及深圳证券交易所的有关规定执行。</w:t>
            </w:r>
            <w:r>
              <w:rPr>
                <w:rFonts w:cs="Times New Roman"/>
              </w:rPr>
              <w:t>2</w:t>
            </w:r>
            <w:r>
              <w:rPr>
                <w:rFonts w:hint="eastAsia"/>
              </w:rPr>
              <w:t>、本次交易完成后</w:t>
            </w:r>
            <w:r>
              <w:rPr>
                <w:rFonts w:cs="Times New Roman"/>
              </w:rPr>
              <w:t>6</w:t>
            </w:r>
            <w:r>
              <w:rPr>
                <w:rFonts w:hint="eastAsia"/>
              </w:rPr>
              <w:t>个月内如上市公司股票连续</w:t>
            </w:r>
            <w:r>
              <w:rPr>
                <w:rFonts w:cs="Times New Roman"/>
              </w:rPr>
              <w:t>20</w:t>
            </w:r>
            <w:r>
              <w:rPr>
                <w:rFonts w:hint="eastAsia"/>
              </w:rPr>
              <w:t>个交易日的收盘价低于发行价，或者交易完成后</w:t>
            </w:r>
            <w:r>
              <w:rPr>
                <w:rFonts w:cs="Times New Roman"/>
              </w:rPr>
              <w:t>6</w:t>
            </w:r>
            <w:r>
              <w:rPr>
                <w:rFonts w:hint="eastAsia"/>
              </w:rPr>
              <w:t>个月期末收盘价低于发行价的，本企业持有上市公司股票的锁定期自动延长</w:t>
            </w:r>
            <w:r>
              <w:rPr>
                <w:rFonts w:cs="Times New Roman"/>
              </w:rPr>
              <w:t>6</w:t>
            </w:r>
            <w:r>
              <w:rPr>
                <w:rFonts w:hint="eastAsia"/>
              </w:rPr>
              <w:t>个月。</w:t>
            </w:r>
            <w:r>
              <w:rPr>
                <w:rFonts w:cs="Times New Roman"/>
              </w:rPr>
              <w:t>3</w:t>
            </w:r>
            <w:r>
              <w:rPr>
                <w:rFonts w:hint="eastAsia"/>
              </w:rPr>
              <w:t>、若上述锁定期安排与监管机构的最新监管意见不相符的，本企业将根据监管机构的最新监管意见出具相应调整后的锁定期承诺函。</w:t>
            </w:r>
            <w:r>
              <w:rPr>
                <w:rFonts w:cs="Times New Roman"/>
              </w:rPr>
              <w:t>"</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lastRenderedPageBreak/>
              <w:t>2016</w:t>
            </w:r>
            <w:r>
              <w:rPr>
                <w:rFonts w:hint="eastAsia"/>
              </w:rPr>
              <w:t>年</w:t>
            </w:r>
            <w:r>
              <w:rPr>
                <w:rFonts w:cs="Times New Roman"/>
              </w:rPr>
              <w:t>01</w:t>
            </w:r>
            <w:r>
              <w:rPr>
                <w:rFonts w:hint="eastAsia"/>
              </w:rPr>
              <w:lastRenderedPageBreak/>
              <w:t>月</w:t>
            </w:r>
            <w:r>
              <w:rPr>
                <w:rFonts w:cs="Times New Roman"/>
              </w:rPr>
              <w:t>08</w:t>
            </w:r>
            <w:r>
              <w:rPr>
                <w:rFonts w:hint="eastAsia"/>
              </w:rPr>
              <w:t>日</w:t>
            </w:r>
          </w:p>
        </w:tc>
        <w:tc>
          <w:tcPr>
            <w:tcW w:w="5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lastRenderedPageBreak/>
              <w:t>2019-0</w:t>
            </w:r>
            <w:r>
              <w:rPr>
                <w:rFonts w:cs="Times New Roman"/>
              </w:rPr>
              <w:lastRenderedPageBreak/>
              <w:t>1-07</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lastRenderedPageBreak/>
              <w:t>正常</w:t>
            </w:r>
            <w:r>
              <w:rPr>
                <w:rFonts w:hint="eastAsia"/>
              </w:rPr>
              <w:lastRenderedPageBreak/>
              <w:t>履行中</w:t>
            </w:r>
          </w:p>
        </w:tc>
      </w:tr>
      <w:tr w:rsidR="00A9288A">
        <w:tc>
          <w:tcPr>
            <w:tcW w:w="102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lef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申万秋</w:t>
            </w:r>
          </w:p>
        </w:tc>
        <w:tc>
          <w:tcPr>
            <w:tcW w:w="7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业绩承诺及补偿安排</w:t>
            </w:r>
          </w:p>
        </w:tc>
        <w:tc>
          <w:tcPr>
            <w:tcW w:w="538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w:t>
            </w:r>
            <w:r>
              <w:rPr>
                <w:rFonts w:hint="eastAsia"/>
              </w:rPr>
              <w:t>（一）业绩承诺期及承诺的净利润根据海兰信与申万秋签署的《盈利预测补偿协议》，申万秋业绩承诺期为本次交易完成日后的连续三个会计年度（包括本次交易实施完成的当年）。本次交易于</w:t>
            </w:r>
            <w:r>
              <w:rPr>
                <w:rFonts w:cs="Times New Roman"/>
              </w:rPr>
              <w:t>2015</w:t>
            </w:r>
            <w:r>
              <w:rPr>
                <w:rFonts w:hint="eastAsia"/>
              </w:rPr>
              <w:t>年</w:t>
            </w:r>
            <w:r>
              <w:rPr>
                <w:rFonts w:cs="Times New Roman"/>
              </w:rPr>
              <w:t>12</w:t>
            </w:r>
            <w:r>
              <w:rPr>
                <w:rFonts w:hint="eastAsia"/>
              </w:rPr>
              <w:t>月</w:t>
            </w:r>
            <w:r>
              <w:rPr>
                <w:rFonts w:cs="Times New Roman"/>
              </w:rPr>
              <w:t>31</w:t>
            </w:r>
            <w:r>
              <w:rPr>
                <w:rFonts w:hint="eastAsia"/>
              </w:rPr>
              <w:t>日前实施完毕，业绩承诺期为</w:t>
            </w:r>
            <w:r>
              <w:rPr>
                <w:rFonts w:cs="Times New Roman"/>
              </w:rPr>
              <w:t>2015</w:t>
            </w:r>
            <w:r>
              <w:rPr>
                <w:rFonts w:hint="eastAsia"/>
              </w:rPr>
              <w:t>年度、</w:t>
            </w:r>
            <w:r>
              <w:rPr>
                <w:rFonts w:cs="Times New Roman"/>
              </w:rPr>
              <w:t>2016</w:t>
            </w:r>
            <w:r>
              <w:rPr>
                <w:rFonts w:hint="eastAsia"/>
              </w:rPr>
              <w:t>年度及</w:t>
            </w:r>
            <w:r>
              <w:rPr>
                <w:rFonts w:cs="Times New Roman"/>
              </w:rPr>
              <w:t>2017</w:t>
            </w:r>
            <w:r>
              <w:rPr>
                <w:rFonts w:hint="eastAsia"/>
              </w:rPr>
              <w:t>年度，申万秋承诺标的公司</w:t>
            </w:r>
            <w:r>
              <w:rPr>
                <w:rFonts w:cs="Times New Roman"/>
              </w:rPr>
              <w:t>2015</w:t>
            </w:r>
            <w:r>
              <w:rPr>
                <w:rFonts w:hint="eastAsia"/>
              </w:rPr>
              <w:t>年度、</w:t>
            </w:r>
            <w:r>
              <w:rPr>
                <w:rFonts w:cs="Times New Roman"/>
              </w:rPr>
              <w:t>2016</w:t>
            </w:r>
            <w:r>
              <w:rPr>
                <w:rFonts w:hint="eastAsia"/>
              </w:rPr>
              <w:t>年度及</w:t>
            </w:r>
            <w:r>
              <w:rPr>
                <w:rFonts w:cs="Times New Roman"/>
              </w:rPr>
              <w:t>2017</w:t>
            </w:r>
            <w:r>
              <w:rPr>
                <w:rFonts w:hint="eastAsia"/>
              </w:rPr>
              <w:t>年度的净利润分别不低于</w:t>
            </w:r>
            <w:r>
              <w:rPr>
                <w:rFonts w:cs="Times New Roman"/>
              </w:rPr>
              <w:t>2,840</w:t>
            </w:r>
            <w:r>
              <w:rPr>
                <w:rFonts w:hint="eastAsia"/>
              </w:rPr>
              <w:t>万元、</w:t>
            </w:r>
            <w:r>
              <w:rPr>
                <w:rFonts w:cs="Times New Roman"/>
              </w:rPr>
              <w:t>3,200</w:t>
            </w:r>
            <w:r>
              <w:rPr>
                <w:rFonts w:hint="eastAsia"/>
              </w:rPr>
              <w:t>万元、</w:t>
            </w:r>
            <w:r>
              <w:rPr>
                <w:rFonts w:cs="Times New Roman"/>
              </w:rPr>
              <w:t>3,360</w:t>
            </w:r>
            <w:r>
              <w:rPr>
                <w:rFonts w:hint="eastAsia"/>
              </w:rPr>
              <w:t>万元。（二）业绩补偿实施方案</w:t>
            </w:r>
            <w:r>
              <w:rPr>
                <w:rFonts w:cs="Times New Roman"/>
              </w:rPr>
              <w:t>1</w:t>
            </w:r>
            <w:r>
              <w:rPr>
                <w:rFonts w:hint="eastAsia"/>
              </w:rPr>
              <w:t>、补偿方式和数额的确定本次交易业绩承诺补偿的实施采用股份与现金相结合的方式进行。承诺期内每一个会计年度结束后，在具有证券、期货业务资格的会计师事务所对标的公司当年实际实现的扣除非经常性损益后的净利润情况出具专项审核报告之日起</w:t>
            </w:r>
            <w:r>
              <w:rPr>
                <w:rFonts w:cs="Times New Roman"/>
              </w:rPr>
              <w:t>30</w:t>
            </w:r>
            <w:r>
              <w:rPr>
                <w:rFonts w:hint="eastAsia"/>
              </w:rPr>
              <w:t>个工作日内，由申万秋向海兰信补偿应补偿的股份以及现金金额。对于申万秋股份补偿部分，海兰信有权以</w:t>
            </w:r>
            <w:r>
              <w:rPr>
                <w:rFonts w:cs="Times New Roman"/>
              </w:rPr>
              <w:t>1</w:t>
            </w:r>
            <w:r>
              <w:rPr>
                <w:rFonts w:hint="eastAsia"/>
              </w:rPr>
              <w:t>元的总价格予以回购并注销。股份补偿的计算公式如下：当期补偿金额</w:t>
            </w:r>
            <w:r>
              <w:rPr>
                <w:rFonts w:cs="Times New Roman"/>
              </w:rPr>
              <w:t>=</w:t>
            </w:r>
            <w:r>
              <w:rPr>
                <w:rFonts w:hint="eastAsia"/>
              </w:rPr>
              <w:t>（截至当期期末累积承诺净利润数－截至当期期末累积实现净利润数）</w:t>
            </w:r>
            <w:r>
              <w:rPr>
                <w:rFonts w:cs="Times New Roman"/>
              </w:rPr>
              <w:t>÷</w:t>
            </w:r>
            <w:r>
              <w:rPr>
                <w:rFonts w:hint="eastAsia"/>
              </w:rPr>
              <w:t>补偿期限内各年的预测净利润数总和</w:t>
            </w:r>
            <w:r>
              <w:rPr>
                <w:rFonts w:cs="Times New Roman"/>
              </w:rPr>
              <w:t>×</w:t>
            </w:r>
            <w:r>
              <w:rPr>
                <w:rFonts w:hint="eastAsia"/>
              </w:rPr>
              <w:t>本次交易对价－累积已补偿金额当期应当补偿股份数量</w:t>
            </w:r>
            <w:r>
              <w:rPr>
                <w:rFonts w:cs="Times New Roman"/>
              </w:rPr>
              <w:t>=</w:t>
            </w:r>
            <w:r>
              <w:rPr>
                <w:rFonts w:hint="eastAsia"/>
              </w:rPr>
              <w:t>当期补偿金额</w:t>
            </w:r>
            <w:r>
              <w:rPr>
                <w:rFonts w:cs="Times New Roman"/>
              </w:rPr>
              <w:t>÷</w:t>
            </w:r>
            <w:r>
              <w:rPr>
                <w:rFonts w:hint="eastAsia"/>
              </w:rPr>
              <w:t>本次股份的发行价格申万秋应优先以本次交易获得的股份进行补偿，本次交易获得的股份不足补偿的，申万秋应以其在本次交易前持有的海兰信股份进行补偿，上述股份仍不足补偿的部分，申万秋应进行现金补偿，具体计算公式为：当期现金补偿金额＝当期补偿金额－当期已补偿股份数量</w:t>
            </w:r>
            <w:r>
              <w:rPr>
                <w:rFonts w:cs="Times New Roman"/>
              </w:rPr>
              <w:t>×</w:t>
            </w:r>
            <w:r>
              <w:rPr>
                <w:rFonts w:hint="eastAsia"/>
              </w:rPr>
              <w:t>本次股份的发行价格。在逐年补偿的情况下，在当年计算的补偿股份数量小于</w:t>
            </w:r>
            <w:r>
              <w:rPr>
                <w:rFonts w:eastAsia="Times New Roman" w:cs="Times New Roman"/>
              </w:rPr>
              <w:t>0</w:t>
            </w:r>
            <w:r>
              <w:rPr>
                <w:rFonts w:hint="eastAsia"/>
              </w:rPr>
              <w:t>时，按</w:t>
            </w:r>
            <w:r>
              <w:rPr>
                <w:rFonts w:eastAsia="Times New Roman" w:cs="Times New Roman"/>
              </w:rPr>
              <w:t>0</w:t>
            </w:r>
            <w:r>
              <w:rPr>
                <w:rFonts w:hint="eastAsia"/>
              </w:rPr>
              <w:t>取值，即已经补偿的股份不冲回。申万秋进行业绩补偿的股份总数以申万秋及上海言盛在本次交易中获得的股份总数为上限。如果业绩承诺期间内海兰信以转增或送股方式进行分配而导致申万秋持有的海兰信股份数发生变化，则海兰信回购股份的数量应调整为：按上述公式计算的当期应当补偿股份数量</w:t>
            </w:r>
            <w:r>
              <w:rPr>
                <w:rFonts w:cs="Times New Roman"/>
              </w:rPr>
              <w:t>×</w:t>
            </w:r>
            <w:r>
              <w:rPr>
                <w:rFonts w:hint="eastAsia"/>
              </w:rPr>
              <w:t>（</w:t>
            </w:r>
            <w:r>
              <w:rPr>
                <w:rFonts w:cs="Times New Roman"/>
              </w:rPr>
              <w:t>1+</w:t>
            </w:r>
            <w:r>
              <w:rPr>
                <w:rFonts w:hint="eastAsia"/>
              </w:rPr>
              <w:t>转增或送股比例）。如海兰信在承诺年度有现金分红的，应补偿股份数在补偿实施时累积获得的分红收益应随之无偿返还海兰信。</w:t>
            </w:r>
            <w:r>
              <w:rPr>
                <w:rFonts w:cs="Times New Roman"/>
              </w:rPr>
              <w:t>2</w:t>
            </w:r>
            <w:r>
              <w:rPr>
                <w:rFonts w:hint="eastAsia"/>
              </w:rPr>
              <w:t>、标的公司减值测试与另行补偿业绩承诺期结束时，海兰信将聘请具有证券从业资格的会计师事务所对标的资产进行资产减值测试，并出具专项审核意见，即使用与本次交易资产评估相同的方法对标的公司股权进行评估，确认相对本次交易标的资产的评估值是否存在减值损失。若标的资产期末减值额</w:t>
            </w:r>
            <w:r>
              <w:rPr>
                <w:rFonts w:cs="Times New Roman"/>
              </w:rPr>
              <w:t>&gt;</w:t>
            </w:r>
            <w:r>
              <w:rPr>
                <w:rFonts w:hint="eastAsia"/>
              </w:rPr>
              <w:t>已补偿股份数</w:t>
            </w:r>
            <w:r>
              <w:rPr>
                <w:rFonts w:cs="Times New Roman"/>
              </w:rPr>
              <w:t>×</w:t>
            </w:r>
            <w:r>
              <w:rPr>
                <w:rFonts w:hint="eastAsia"/>
              </w:rPr>
              <w:t>本次发行价格＋现金补偿金额（如有），则申万秋应以股份及现金方式向海兰信另行补偿。标的资产期末减值额为本次交易标的资产的价格减去期末标的资产的评估值并扣除承诺年度期限内标的资产增资、减资、接受赠与以及利润分配的影响。减值测试补偿金额</w:t>
            </w:r>
            <w:r>
              <w:rPr>
                <w:rFonts w:cs="Times New Roman"/>
              </w:rPr>
              <w:t>=</w:t>
            </w:r>
            <w:r>
              <w:rPr>
                <w:rFonts w:hint="eastAsia"/>
              </w:rPr>
              <w:t>标的资产期末减值额</w:t>
            </w:r>
            <w:r>
              <w:rPr>
                <w:rFonts w:eastAsia="Times New Roman" w:cs="Times New Roman"/>
              </w:rPr>
              <w:t>-</w:t>
            </w:r>
            <w:r>
              <w:rPr>
                <w:rFonts w:hint="eastAsia"/>
              </w:rPr>
              <w:t>已补偿股份数</w:t>
            </w:r>
            <w:r>
              <w:rPr>
                <w:rFonts w:cs="Times New Roman"/>
              </w:rPr>
              <w:t>×</w:t>
            </w:r>
            <w:r>
              <w:rPr>
                <w:rFonts w:hint="eastAsia"/>
              </w:rPr>
              <w:t>本次发行价格</w:t>
            </w:r>
            <w:r>
              <w:rPr>
                <w:rFonts w:eastAsia="Times New Roman" w:cs="Times New Roman"/>
              </w:rPr>
              <w:t>-</w:t>
            </w:r>
            <w:r>
              <w:rPr>
                <w:rFonts w:hint="eastAsia"/>
              </w:rPr>
              <w:t>已补偿现金金额</w:t>
            </w:r>
            <w:r>
              <w:rPr>
                <w:rFonts w:hint="eastAsia"/>
              </w:rPr>
              <w:lastRenderedPageBreak/>
              <w:t>具体减值测试补偿按以下公式计算确定：减值测试补偿股份数量＝减值测试补偿金额</w:t>
            </w:r>
            <w:r>
              <w:rPr>
                <w:rFonts w:cs="Times New Roman"/>
              </w:rPr>
              <w:t>÷</w:t>
            </w:r>
            <w:r>
              <w:rPr>
                <w:rFonts w:hint="eastAsia"/>
              </w:rPr>
              <w:t>每股发行价格如申万秋通过本次交易认购的海兰信的股份数不足以补偿，则申万秋应向海兰信另行支付现金进行补偿。减值测试另行现金补偿金额</w:t>
            </w:r>
            <w:r>
              <w:rPr>
                <w:rFonts w:cs="Times New Roman"/>
              </w:rPr>
              <w:t>=</w:t>
            </w:r>
            <w:r>
              <w:rPr>
                <w:rFonts w:hint="eastAsia"/>
              </w:rPr>
              <w:t>减值测试补偿金额</w:t>
            </w:r>
            <w:r>
              <w:rPr>
                <w:rFonts w:eastAsia="Times New Roman" w:cs="Times New Roman"/>
              </w:rPr>
              <w:t>-</w:t>
            </w:r>
            <w:r>
              <w:rPr>
                <w:rFonts w:hint="eastAsia"/>
              </w:rPr>
              <w:t>已补偿的减值测试补偿股份数量</w:t>
            </w:r>
            <w:r>
              <w:rPr>
                <w:rFonts w:cs="Times New Roman"/>
              </w:rPr>
              <w:t>×</w:t>
            </w:r>
            <w:r>
              <w:rPr>
                <w:rFonts w:hint="eastAsia"/>
              </w:rPr>
              <w:t>发行价格若海兰信在承诺年度实施转增或送股分配的，则减值测试补偿股份数进行相应调整为：按上述公式计算的补偿股份数量</w:t>
            </w:r>
            <w:r>
              <w:rPr>
                <w:rFonts w:cs="Times New Roman"/>
              </w:rPr>
              <w:t>×</w:t>
            </w:r>
            <w:r>
              <w:rPr>
                <w:rFonts w:hint="eastAsia"/>
              </w:rPr>
              <w:t>（</w:t>
            </w:r>
            <w:r>
              <w:rPr>
                <w:rFonts w:cs="Times New Roman"/>
              </w:rPr>
              <w:t>1</w:t>
            </w:r>
            <w:r>
              <w:rPr>
                <w:rFonts w:hint="eastAsia"/>
              </w:rPr>
              <w:t>＋转增或送股比例）。若海兰信在业绩承诺期内有现金分红的，其按前述公式计算的具体减值测试补偿股份数在回购股份实施前所对应的现金分红收益，应随之无偿返还海兰信。</w:t>
            </w:r>
            <w:r>
              <w:rPr>
                <w:rFonts w:cs="Times New Roman"/>
              </w:rPr>
              <w:t>3</w:t>
            </w:r>
            <w:r>
              <w:rPr>
                <w:rFonts w:hint="eastAsia"/>
              </w:rPr>
              <w:t>、补偿的实施海兰信应当在每一业绩承诺期专项审核意见出具之后的</w:t>
            </w:r>
            <w:r>
              <w:rPr>
                <w:rFonts w:cs="Times New Roman"/>
              </w:rPr>
              <w:t>10</w:t>
            </w:r>
            <w:r>
              <w:rPr>
                <w:rFonts w:hint="eastAsia"/>
              </w:rPr>
              <w:t>个工作日内召开董事会会议，并按照本协议确定申万秋应补偿的股份数量和现金补偿金额，并由董事会召集股东大会审议股份回购注销事宜。</w:t>
            </w:r>
            <w:r>
              <w:rPr>
                <w:rFonts w:cs="Times New Roman"/>
              </w:rPr>
              <w:t>"</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lastRenderedPageBreak/>
              <w:t>2016</w:t>
            </w:r>
            <w:r>
              <w:rPr>
                <w:rFonts w:hint="eastAsia"/>
              </w:rPr>
              <w:t>年</w:t>
            </w:r>
            <w:r>
              <w:rPr>
                <w:rFonts w:cs="Times New Roman"/>
              </w:rPr>
              <w:t>01</w:t>
            </w:r>
            <w:r>
              <w:rPr>
                <w:rFonts w:hint="eastAsia"/>
              </w:rPr>
              <w:t>月</w:t>
            </w:r>
            <w:r>
              <w:rPr>
                <w:rFonts w:cs="Times New Roman"/>
              </w:rPr>
              <w:t>08</w:t>
            </w:r>
            <w:r>
              <w:rPr>
                <w:rFonts w:hint="eastAsia"/>
              </w:rPr>
              <w:t>日</w:t>
            </w:r>
          </w:p>
        </w:tc>
        <w:tc>
          <w:tcPr>
            <w:tcW w:w="5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2018-04-30</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履行完毕</w:t>
            </w:r>
          </w:p>
        </w:tc>
      </w:tr>
      <w:tr w:rsidR="00A9288A">
        <w:tc>
          <w:tcPr>
            <w:tcW w:w="102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lef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申万秋</w:t>
            </w:r>
          </w:p>
        </w:tc>
        <w:tc>
          <w:tcPr>
            <w:tcW w:w="7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关于同业竞争、关联交易、资金占用方面的承诺</w:t>
            </w:r>
          </w:p>
        </w:tc>
        <w:tc>
          <w:tcPr>
            <w:tcW w:w="538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w:t>
            </w:r>
            <w:r>
              <w:rPr>
                <w:rFonts w:hint="eastAsia"/>
              </w:rPr>
              <w:t>申万秋承诺：</w:t>
            </w:r>
            <w:r>
              <w:rPr>
                <w:rFonts w:cs="Times New Roman"/>
              </w:rPr>
              <w:t>1</w:t>
            </w:r>
            <w:r>
              <w:rPr>
                <w:rFonts w:hint="eastAsia"/>
              </w:rPr>
              <w:t>、本人承诺，在本人直接或间接持有海兰信股份期间及之后两年，本人及其控制的或可施加重大影响的企业不得以任何形式（包括但不限于在中国境内或境外自行或与他人合资、合作、联营、投资、兼并、受托经营等方式）直接或间接地从事、参与或协助他人从事任何与海兰信及其控股公司届时正在从事或可预见即将从事的业务有直接或间接竞争关系的相同或相似的业务或其他经营活动，也不得直接或间接投资任何与海兰信及其控股公司届时正在从事的业务有直接或间接竞争关系的经济实体；</w:t>
            </w:r>
            <w:r>
              <w:rPr>
                <w:rFonts w:cs="Times New Roman"/>
              </w:rPr>
              <w:t>2</w:t>
            </w:r>
            <w:r>
              <w:rPr>
                <w:rFonts w:hint="eastAsia"/>
              </w:rPr>
              <w:t>、本人承诺，如本人及其控制的或可施加重大影响的企业未来从任何第三方获得的任何商业机会与海兰信及其控股公司主营业务有竞争或可能有竞争，则本人将立即通知上市公司，在征得第三方允诺后，尽力将该商业机会给予海兰信及其控股公司；</w:t>
            </w:r>
            <w:r>
              <w:rPr>
                <w:rFonts w:cs="Times New Roman"/>
              </w:rPr>
              <w:t>3</w:t>
            </w:r>
            <w:r>
              <w:rPr>
                <w:rFonts w:hint="eastAsia"/>
              </w:rPr>
              <w:t>、本人保证绝不利用对海兰信及其控股公司的了解和知悉的信息协助第三方从事、参与或投资与海兰信及其控股公司相竞争的业务或项目；</w:t>
            </w:r>
            <w:r>
              <w:rPr>
                <w:rFonts w:cs="Times New Roman"/>
              </w:rPr>
              <w:t>4</w:t>
            </w:r>
            <w:r>
              <w:rPr>
                <w:rFonts w:hint="eastAsia"/>
              </w:rPr>
              <w:t>、本人保证将赔偿海兰信及其控股公司因本人违反本承诺而遭受或产生的任何损失或开支。本承诺函对本人具有法律约束力，本人愿意承担个别和连带的法律责任。</w:t>
            </w:r>
            <w:r>
              <w:rPr>
                <w:rFonts w:cs="Times New Roman"/>
              </w:rPr>
              <w:t>"</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2016</w:t>
            </w:r>
            <w:r>
              <w:rPr>
                <w:rFonts w:hint="eastAsia"/>
              </w:rPr>
              <w:t>年</w:t>
            </w:r>
            <w:r>
              <w:rPr>
                <w:rFonts w:cs="Times New Roman"/>
              </w:rPr>
              <w:t>01</w:t>
            </w:r>
            <w:r>
              <w:rPr>
                <w:rFonts w:hint="eastAsia"/>
              </w:rPr>
              <w:t>月</w:t>
            </w:r>
            <w:r>
              <w:rPr>
                <w:rFonts w:cs="Times New Roman"/>
              </w:rPr>
              <w:t>08</w:t>
            </w:r>
            <w:r>
              <w:rPr>
                <w:rFonts w:hint="eastAsia"/>
              </w:rPr>
              <w:t>日</w:t>
            </w:r>
          </w:p>
        </w:tc>
        <w:tc>
          <w:tcPr>
            <w:tcW w:w="5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长期有效</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正常履行中</w:t>
            </w:r>
          </w:p>
        </w:tc>
      </w:tr>
      <w:tr w:rsidR="00A9288A">
        <w:tc>
          <w:tcPr>
            <w:tcW w:w="102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lef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申万秋</w:t>
            </w:r>
          </w:p>
        </w:tc>
        <w:tc>
          <w:tcPr>
            <w:tcW w:w="7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关于同业竞争、关联交易、资金占用方面的承诺</w:t>
            </w:r>
          </w:p>
        </w:tc>
        <w:tc>
          <w:tcPr>
            <w:tcW w:w="538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w:t>
            </w:r>
            <w:r>
              <w:rPr>
                <w:rFonts w:hint="eastAsia"/>
              </w:rPr>
              <w:t>申万秋承诺：</w:t>
            </w:r>
            <w:r>
              <w:rPr>
                <w:rFonts w:cs="Times New Roman"/>
              </w:rPr>
              <w:t>1</w:t>
            </w:r>
            <w:r>
              <w:rPr>
                <w:rFonts w:hint="eastAsia"/>
              </w:rPr>
              <w:t>、本次交易完成后，本人及本人下属全资、控股子公司及其他可实际控制企业与上市公司之间将尽量减少关联交易。在进行确有必要且无法规避的关联交易时，保证按市场化原则和公允价格进行公平操作，并按相关法律、法规、规章等规范性文件的规定履行交易程序及信息披露义务，保证不通过关联交易损害上市公司及其他股东的合法权益。</w:t>
            </w:r>
            <w:r>
              <w:rPr>
                <w:rFonts w:cs="Times New Roman"/>
              </w:rPr>
              <w:t>2</w:t>
            </w:r>
            <w:r>
              <w:rPr>
                <w:rFonts w:hint="eastAsia"/>
              </w:rPr>
              <w:t>、本人和上市公司就相互间关联事务及交易所做出的任何约定及安排，均不妨碍对方为其自身利益、在市场同等竞争条件下与任何第三方进行业务往来或交易。上述承诺自海兰信本次重大资产重组事项获得核准之日起具有法律效力，对本人具有法律约束力至本人不再拥有对上市公司的股份当日失效。</w:t>
            </w:r>
            <w:r>
              <w:rPr>
                <w:rFonts w:cs="Times New Roman"/>
              </w:rPr>
              <w:t>"</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2015</w:t>
            </w:r>
            <w:r>
              <w:rPr>
                <w:rFonts w:hint="eastAsia"/>
              </w:rPr>
              <w:t>年</w:t>
            </w:r>
            <w:r>
              <w:rPr>
                <w:rFonts w:cs="Times New Roman"/>
              </w:rPr>
              <w:t>12</w:t>
            </w:r>
            <w:r>
              <w:rPr>
                <w:rFonts w:hint="eastAsia"/>
              </w:rPr>
              <w:t>月</w:t>
            </w:r>
            <w:r>
              <w:rPr>
                <w:rFonts w:cs="Times New Roman"/>
              </w:rPr>
              <w:t>25</w:t>
            </w:r>
            <w:r>
              <w:rPr>
                <w:rFonts w:hint="eastAsia"/>
              </w:rPr>
              <w:t>日</w:t>
            </w:r>
          </w:p>
        </w:tc>
        <w:tc>
          <w:tcPr>
            <w:tcW w:w="5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长期有效</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正常履行中</w:t>
            </w:r>
          </w:p>
        </w:tc>
      </w:tr>
      <w:tr w:rsidR="00A9288A">
        <w:tc>
          <w:tcPr>
            <w:tcW w:w="102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lef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上海言盛投资合伙企业（有限合伙）</w:t>
            </w:r>
          </w:p>
        </w:tc>
        <w:tc>
          <w:tcPr>
            <w:tcW w:w="7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关于同业竞争、关联交易、资金占用方</w:t>
            </w:r>
            <w:r>
              <w:rPr>
                <w:rFonts w:hint="eastAsia"/>
              </w:rPr>
              <w:lastRenderedPageBreak/>
              <w:t>面的承诺</w:t>
            </w:r>
          </w:p>
        </w:tc>
        <w:tc>
          <w:tcPr>
            <w:tcW w:w="538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lastRenderedPageBreak/>
              <w:t>"</w:t>
            </w:r>
            <w:r>
              <w:rPr>
                <w:rFonts w:hint="eastAsia"/>
              </w:rPr>
              <w:t>上海言盛承诺：</w:t>
            </w:r>
            <w:r>
              <w:rPr>
                <w:rFonts w:cs="Times New Roman"/>
              </w:rPr>
              <w:t>1</w:t>
            </w:r>
            <w:r>
              <w:rPr>
                <w:rFonts w:hint="eastAsia"/>
              </w:rPr>
              <w:t>、本企业承诺，在本企业直接或间接持有海兰信股份期间及之后两年，本企业及其控制的或可施加重大影响的企业不得以任何形式（包括但不限于在中国境内或境外自行或与他人合资、合作、联营、投资、兼并、受托经营等方式）直接或间接地从事、参与或协助他人从事任何与海兰信及其控股公司届时正在从事或可预见</w:t>
            </w:r>
            <w:r>
              <w:rPr>
                <w:rFonts w:hint="eastAsia"/>
              </w:rPr>
              <w:lastRenderedPageBreak/>
              <w:t>即将从事的业务有直接或间接竞争关系的相同或相似的业务或其他经营活动，也不得直接或间接投资任何与海兰信及其控股公司届时正在从事的业务有直接或间接竞争关系的经济实体；</w:t>
            </w:r>
            <w:r>
              <w:rPr>
                <w:rFonts w:cs="Times New Roman"/>
              </w:rPr>
              <w:t>2</w:t>
            </w:r>
            <w:r>
              <w:rPr>
                <w:rFonts w:hint="eastAsia"/>
              </w:rPr>
              <w:t>、本企业承诺，如本企业及其控制的或可施加重大影响的企业未来从任何第三方获得的任何商业机会与海兰信及其控股公司主营业务有竞争或可能有竞争，则本企业将立即通知上市公司，在征得第三方允诺后，尽力将该商业机会给予海兰信及其控股公司；</w:t>
            </w:r>
            <w:r>
              <w:rPr>
                <w:rFonts w:cs="Times New Roman"/>
              </w:rPr>
              <w:t>3</w:t>
            </w:r>
            <w:r>
              <w:rPr>
                <w:rFonts w:hint="eastAsia"/>
              </w:rPr>
              <w:t>、本企业保证绝不利用对海兰信及其控股公司的了解和知悉的信息协助第三方从事、参与或投资与海兰信及其控股公司相竞争的业务或项目；</w:t>
            </w:r>
            <w:r>
              <w:rPr>
                <w:rFonts w:cs="Times New Roman"/>
              </w:rPr>
              <w:t>4</w:t>
            </w:r>
            <w:r>
              <w:rPr>
                <w:rFonts w:hint="eastAsia"/>
              </w:rPr>
              <w:t>、本企业保证将赔偿海兰信及其控股公司因本企业违反本承诺而遭受或产生的任何损失或开支。本承诺函对本企业具有法律约束力，本企业愿意承担个别和连带的法律责任。</w:t>
            </w:r>
            <w:r>
              <w:rPr>
                <w:rFonts w:cs="Times New Roman"/>
              </w:rPr>
              <w:t>"</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lastRenderedPageBreak/>
              <w:t>2016</w:t>
            </w:r>
            <w:r>
              <w:rPr>
                <w:rFonts w:hint="eastAsia"/>
              </w:rPr>
              <w:t>年</w:t>
            </w:r>
            <w:r>
              <w:rPr>
                <w:rFonts w:cs="Times New Roman"/>
              </w:rPr>
              <w:t>01</w:t>
            </w:r>
            <w:r>
              <w:rPr>
                <w:rFonts w:hint="eastAsia"/>
              </w:rPr>
              <w:t>月</w:t>
            </w:r>
            <w:r>
              <w:rPr>
                <w:rFonts w:cs="Times New Roman"/>
              </w:rPr>
              <w:t>08</w:t>
            </w:r>
            <w:r>
              <w:rPr>
                <w:rFonts w:hint="eastAsia"/>
              </w:rPr>
              <w:t>日</w:t>
            </w:r>
          </w:p>
        </w:tc>
        <w:tc>
          <w:tcPr>
            <w:tcW w:w="5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长期有效</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正常履行中</w:t>
            </w:r>
          </w:p>
        </w:tc>
      </w:tr>
      <w:tr w:rsidR="00A9288A">
        <w:tc>
          <w:tcPr>
            <w:tcW w:w="102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lef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上海言盛投资合伙企业（有限合伙）</w:t>
            </w:r>
          </w:p>
        </w:tc>
        <w:tc>
          <w:tcPr>
            <w:tcW w:w="7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关于同业竞争、关联交易、资金占用方面的承诺</w:t>
            </w:r>
          </w:p>
        </w:tc>
        <w:tc>
          <w:tcPr>
            <w:tcW w:w="538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w:t>
            </w:r>
            <w:r>
              <w:rPr>
                <w:rFonts w:hint="eastAsia"/>
              </w:rPr>
              <w:t>上海言盛承诺：</w:t>
            </w:r>
            <w:r>
              <w:rPr>
                <w:rFonts w:cs="Times New Roman"/>
              </w:rPr>
              <w:t>1</w:t>
            </w:r>
            <w:r>
              <w:rPr>
                <w:rFonts w:hint="eastAsia"/>
              </w:rPr>
              <w:t>、本次交易完成后，本企业将继续严格按照《公司法》、《合伙企业法》等法律、法规、规章等规范性文件的要求以及上市公司《公司章程》的有关规定，行使股东权利或者敦促董事依法行使董事权利，在股东大会以及董事会对有关涉及本企业事项的关联交易进行表决时，履行回避表决的义务。</w:t>
            </w:r>
            <w:r>
              <w:rPr>
                <w:rFonts w:cs="Times New Roman"/>
              </w:rPr>
              <w:t>2</w:t>
            </w:r>
            <w:r>
              <w:rPr>
                <w:rFonts w:hint="eastAsia"/>
              </w:rPr>
              <w:t>、本次交易完成后，本企业与上市公司之间将尽量减少关联交易。在进行确有必要且无法规避的关联交易时，保证按市场化原则和公允价格进行公平操作，并按相关法律、法规、规章等规范性文件的规定履行交易程序及信息披露义务。保证不通过关联交易损害上市公司及其他股东的合法权益。本企业和上市公司就相互间关联事务及交易所做出的任何约定及安排，均不妨碍对方为其自身利益、在市场同等竞争条件下与任何第三方进行业务往来或交易。上述承诺自海兰信本次重大资产重组事项获得核准之日起具有法律效力，对本企业具有法律约束力；至本企业不再拥有对上市公司的股份当日失效。</w:t>
            </w:r>
            <w:r>
              <w:rPr>
                <w:rFonts w:cs="Times New Roman"/>
              </w:rPr>
              <w:t>"</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2015</w:t>
            </w:r>
            <w:r>
              <w:rPr>
                <w:rFonts w:hint="eastAsia"/>
              </w:rPr>
              <w:t>年</w:t>
            </w:r>
            <w:r>
              <w:rPr>
                <w:rFonts w:cs="Times New Roman"/>
              </w:rPr>
              <w:t>12</w:t>
            </w:r>
            <w:r>
              <w:rPr>
                <w:rFonts w:hint="eastAsia"/>
              </w:rPr>
              <w:t>月</w:t>
            </w:r>
            <w:r>
              <w:rPr>
                <w:rFonts w:cs="Times New Roman"/>
              </w:rPr>
              <w:t>25</w:t>
            </w:r>
            <w:r>
              <w:rPr>
                <w:rFonts w:hint="eastAsia"/>
              </w:rPr>
              <w:t>日</w:t>
            </w:r>
          </w:p>
        </w:tc>
        <w:tc>
          <w:tcPr>
            <w:tcW w:w="5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长期有效</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正常履行中</w:t>
            </w:r>
          </w:p>
        </w:tc>
      </w:tr>
      <w:tr w:rsidR="00A9288A">
        <w:tc>
          <w:tcPr>
            <w:tcW w:w="102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首次公开发行或再融资时所作承诺</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公司董事申万秋</w:t>
            </w:r>
          </w:p>
        </w:tc>
        <w:tc>
          <w:tcPr>
            <w:tcW w:w="7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股份限售承诺</w:t>
            </w:r>
          </w:p>
        </w:tc>
        <w:tc>
          <w:tcPr>
            <w:tcW w:w="538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公司董事申万秋承诺：在其任职期间每年转让的股份不超过其所持有发行人股份总数的</w:t>
            </w:r>
            <w:r>
              <w:rPr>
                <w:rFonts w:cs="Times New Roman"/>
              </w:rPr>
              <w:t>25%</w:t>
            </w:r>
            <w:r>
              <w:rPr>
                <w:rFonts w:hint="eastAsia"/>
              </w:rPr>
              <w:t>；离职后半年内，不转让其所持有的股份。</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2010</w:t>
            </w:r>
            <w:r>
              <w:rPr>
                <w:rFonts w:hint="eastAsia"/>
              </w:rPr>
              <w:t>年</w:t>
            </w:r>
            <w:r>
              <w:rPr>
                <w:rFonts w:cs="Times New Roman"/>
              </w:rPr>
              <w:t>03</w:t>
            </w:r>
            <w:r>
              <w:rPr>
                <w:rFonts w:hint="eastAsia"/>
              </w:rPr>
              <w:t>月</w:t>
            </w:r>
            <w:r>
              <w:rPr>
                <w:rFonts w:cs="Times New Roman"/>
              </w:rPr>
              <w:t>26</w:t>
            </w:r>
            <w:r>
              <w:rPr>
                <w:rFonts w:hint="eastAsia"/>
              </w:rPr>
              <w:t>日</w:t>
            </w:r>
          </w:p>
        </w:tc>
        <w:tc>
          <w:tcPr>
            <w:tcW w:w="5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任职期间</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正常履行中</w:t>
            </w:r>
          </w:p>
        </w:tc>
      </w:tr>
      <w:tr w:rsidR="00A9288A">
        <w:tc>
          <w:tcPr>
            <w:tcW w:w="102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lef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公司第一大股东申万秋</w:t>
            </w:r>
          </w:p>
        </w:tc>
        <w:tc>
          <w:tcPr>
            <w:tcW w:w="7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关于同业竞争、关联交易、资金占用方面的承诺</w:t>
            </w:r>
          </w:p>
        </w:tc>
        <w:tc>
          <w:tcPr>
            <w:tcW w:w="538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申万秋出具避免同业竞争承诺：在承诺函签署之日，本人及本人拥有权益的附属公司及参股公司均未生产、开发任何与海兰信生产的产品构成竞争或可能竞争的产品，未直接或间接经营任何与海兰信经营的业务构成竞争或可能竞争的业务，也未参与投资于任何与海兰信生产的产品或经营的业务构成竞争或可能构成竞争的其他企业。自承诺函签署之日起，本人及本人拥有权益的附属公司及参股公司将不生产、开发任何与海兰信生产的产品构成竞争或可能构成竞争的产品，不直接或间接经营任何与海兰信经营的业务构成竞争或可能竞争的业务，也不参与投资于任何与海兰信生产的产品或经营的业务构成竞争或可能构成竞争的其他企业。自承诺函签署之日起，如海兰信进一步拓展其产品和业务范围，本人及本人拥有权益的附属公司及参股公司将不与海兰信拓展后的产品或业务相竞争；若与海兰信拓展后的产品或业务产生竞争，本人及本人拥有权益的附属公司及参股公司将以停止生产或经营相竞争的业务或产品的方式或者将相竞争的业务纳入到</w:t>
            </w:r>
            <w:r>
              <w:rPr>
                <w:rFonts w:hint="eastAsia"/>
              </w:rPr>
              <w:lastRenderedPageBreak/>
              <w:t>海兰信经营的方式或者将相竞争的业务转让给无关联关系第三方的方式避免同业竞争。如承诺函被证明是不真实或未被遵守，本人将向海兰信赔偿一切直接和间接损失。</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lastRenderedPageBreak/>
              <w:t>2010</w:t>
            </w:r>
            <w:r>
              <w:rPr>
                <w:rFonts w:hint="eastAsia"/>
              </w:rPr>
              <w:t>年</w:t>
            </w:r>
            <w:r>
              <w:rPr>
                <w:rFonts w:cs="Times New Roman"/>
              </w:rPr>
              <w:t>03</w:t>
            </w:r>
            <w:r>
              <w:rPr>
                <w:rFonts w:hint="eastAsia"/>
              </w:rPr>
              <w:t>月</w:t>
            </w:r>
            <w:r>
              <w:rPr>
                <w:rFonts w:cs="Times New Roman"/>
              </w:rPr>
              <w:t>26</w:t>
            </w:r>
            <w:r>
              <w:rPr>
                <w:rFonts w:hint="eastAsia"/>
              </w:rPr>
              <w:t>日</w:t>
            </w:r>
          </w:p>
        </w:tc>
        <w:tc>
          <w:tcPr>
            <w:tcW w:w="5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长期有效</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承诺人均严格履行承诺，无违反承诺的事项发生。</w:t>
            </w:r>
          </w:p>
        </w:tc>
      </w:tr>
      <w:tr w:rsidR="00A9288A">
        <w:tc>
          <w:tcPr>
            <w:tcW w:w="102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lef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公司第一大股东申万秋、股东魏法军</w:t>
            </w:r>
          </w:p>
        </w:tc>
        <w:tc>
          <w:tcPr>
            <w:tcW w:w="7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关于同业竞争、关联交易、资金占用方面的承诺</w:t>
            </w:r>
          </w:p>
        </w:tc>
        <w:tc>
          <w:tcPr>
            <w:tcW w:w="538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w:t>
            </w:r>
            <w:r>
              <w:rPr>
                <w:rFonts w:cs="Times New Roman"/>
              </w:rPr>
              <w:t>1</w:t>
            </w:r>
            <w:r>
              <w:rPr>
                <w:rFonts w:hint="eastAsia"/>
              </w:rPr>
              <w:t>）公司第一大股东申万秋、股东魏法军承诺：在发行人持有海兰天澄股权期间，保证不通过关联交易损害公司及公司股东利益。（</w:t>
            </w:r>
            <w:r>
              <w:rPr>
                <w:rFonts w:cs="Times New Roman"/>
              </w:rPr>
              <w:t>2</w:t>
            </w:r>
            <w:r>
              <w:rPr>
                <w:rFonts w:hint="eastAsia"/>
              </w:rPr>
              <w:t>）公司控股股东申万秋、股东魏法军就原海兰信有限公司发生的历次涉及国有股股权转让的相关事宜进行了承诺：如海兰信有限公司历史上发生的历次涉及国有股股权转让行为中，存在侵害国有股东合法权益、导致国有资产流失情形的，承诺人将对国有股东所遭受损失予以全额赔偿，以确保国有权益不受损失。</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2010</w:t>
            </w:r>
            <w:r>
              <w:rPr>
                <w:rFonts w:hint="eastAsia"/>
              </w:rPr>
              <w:t>年</w:t>
            </w:r>
            <w:r>
              <w:rPr>
                <w:rFonts w:cs="Times New Roman"/>
              </w:rPr>
              <w:t>03</w:t>
            </w:r>
            <w:r>
              <w:rPr>
                <w:rFonts w:hint="eastAsia"/>
              </w:rPr>
              <w:t>月</w:t>
            </w:r>
            <w:r>
              <w:rPr>
                <w:rFonts w:cs="Times New Roman"/>
              </w:rPr>
              <w:t>26</w:t>
            </w:r>
            <w:r>
              <w:rPr>
                <w:rFonts w:hint="eastAsia"/>
              </w:rPr>
              <w:t>日</w:t>
            </w:r>
          </w:p>
        </w:tc>
        <w:tc>
          <w:tcPr>
            <w:tcW w:w="5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长期有效</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承诺人均严格履行承诺，无违反承诺的事项发生。</w:t>
            </w:r>
          </w:p>
        </w:tc>
      </w:tr>
      <w:tr w:rsidR="00A9288A">
        <w:tc>
          <w:tcPr>
            <w:tcW w:w="102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股权激励承诺</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c>
          <w:tcPr>
            <w:tcW w:w="7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c>
          <w:tcPr>
            <w:tcW w:w="538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c>
          <w:tcPr>
            <w:tcW w:w="5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r>
      <w:tr w:rsidR="00A9288A">
        <w:tc>
          <w:tcPr>
            <w:tcW w:w="102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其他对公司中小股东所作承诺</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c>
          <w:tcPr>
            <w:tcW w:w="7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c>
          <w:tcPr>
            <w:tcW w:w="538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c>
          <w:tcPr>
            <w:tcW w:w="5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r>
      <w:tr w:rsidR="00A9288A">
        <w:tc>
          <w:tcPr>
            <w:tcW w:w="102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承诺是否及时履行</w:t>
            </w:r>
          </w:p>
        </w:tc>
        <w:tc>
          <w:tcPr>
            <w:tcW w:w="8673" w:type="dxa"/>
            <w:gridSpan w:val="6"/>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是</w:t>
            </w:r>
          </w:p>
        </w:tc>
      </w:tr>
      <w:tr w:rsidR="00A9288A">
        <w:tc>
          <w:tcPr>
            <w:tcW w:w="102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如承诺超期未履行完毕的，应当详细说明未完成履行的具体原因及下一步的工作计划</w:t>
            </w:r>
          </w:p>
        </w:tc>
        <w:tc>
          <w:tcPr>
            <w:tcW w:w="8673" w:type="dxa"/>
            <w:gridSpan w:val="6"/>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不适用</w:t>
            </w:r>
          </w:p>
        </w:tc>
      </w:tr>
    </w:tbl>
    <w:p w:rsidR="00A9288A" w:rsidRDefault="007A4434">
      <w:pPr>
        <w:pStyle w:val="Chapter"/>
        <w:outlineLvl w:val="1"/>
        <w:rPr>
          <w:rFonts w:eastAsia="Times New Roman" w:cs="Times New Roman"/>
        </w:rPr>
      </w:pPr>
      <w:r>
        <w:rPr>
          <w:rFonts w:hint="eastAsia"/>
        </w:rPr>
        <w:t>四、聘任、解聘会计师事务所情况</w:t>
      </w:r>
    </w:p>
    <w:p w:rsidR="00A9288A" w:rsidRDefault="007A4434">
      <w:pPr>
        <w:jc w:val="left"/>
        <w:rPr>
          <w:rFonts w:eastAsia="Times New Roman" w:cs="Times New Roman"/>
        </w:rPr>
      </w:pPr>
      <w:r>
        <w:rPr>
          <w:rFonts w:hint="eastAsia"/>
        </w:rPr>
        <w:t>半年度财务报告是否已经审计</w:t>
      </w:r>
    </w:p>
    <w:p w:rsidR="00A9288A" w:rsidRDefault="007A4434">
      <w:pPr>
        <w:jc w:val="left"/>
        <w:rPr>
          <w:rFonts w:cs="Times New Roman"/>
        </w:rPr>
      </w:pPr>
      <w:r>
        <w:rPr>
          <w:rFonts w:cs="Times New Roman"/>
        </w:rPr>
        <w:t xml:space="preserve">□ </w:t>
      </w:r>
      <w:r>
        <w:rPr>
          <w:rFonts w:hint="eastAsia"/>
        </w:rPr>
        <w:t>是</w:t>
      </w:r>
      <w:r>
        <w:rPr>
          <w:rFonts w:cs="Times New Roman"/>
        </w:rPr>
        <w:t xml:space="preserve"> √ </w:t>
      </w:r>
      <w:r>
        <w:rPr>
          <w:rFonts w:hint="eastAsia"/>
        </w:rPr>
        <w:t>否</w:t>
      </w:r>
      <w:r>
        <w:rPr>
          <w:rFonts w:cs="Times New Roman"/>
        </w:rPr>
        <w:t xml:space="preserve"> </w:t>
      </w:r>
    </w:p>
    <w:p w:rsidR="00A9288A" w:rsidRDefault="007A4434">
      <w:pPr>
        <w:jc w:val="left"/>
        <w:rPr>
          <w:rFonts w:eastAsia="Times New Roman" w:cs="Times New Roman"/>
        </w:rPr>
      </w:pPr>
      <w:r>
        <w:rPr>
          <w:rFonts w:hint="eastAsia"/>
        </w:rPr>
        <w:t>公司半年度报告未经审计。</w:t>
      </w:r>
    </w:p>
    <w:p w:rsidR="00A9288A" w:rsidRDefault="007A4434">
      <w:pPr>
        <w:pStyle w:val="Chapter"/>
        <w:outlineLvl w:val="1"/>
        <w:rPr>
          <w:rFonts w:eastAsia="Times New Roman" w:cs="Times New Roman"/>
        </w:rPr>
      </w:pPr>
      <w:r>
        <w:rPr>
          <w:rFonts w:hint="eastAsia"/>
        </w:rPr>
        <w:t>五、董事会、监事会对会计师事务所本报告期</w:t>
      </w:r>
      <w:r>
        <w:rPr>
          <w:rFonts w:cs="Times New Roman"/>
        </w:rPr>
        <w:t>“</w:t>
      </w:r>
      <w:r>
        <w:rPr>
          <w:rFonts w:hint="eastAsia"/>
        </w:rPr>
        <w:t>非标准审计报告</w:t>
      </w:r>
      <w:r>
        <w:rPr>
          <w:rFonts w:cs="Times New Roman"/>
        </w:rPr>
        <w:t>”</w:t>
      </w:r>
      <w:r>
        <w:rPr>
          <w:rFonts w:hint="eastAsia"/>
        </w:rPr>
        <w:t>的说明</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Chapter"/>
        <w:outlineLvl w:val="1"/>
        <w:rPr>
          <w:rFonts w:eastAsia="Times New Roman" w:cs="Times New Roman"/>
        </w:rPr>
      </w:pPr>
      <w:r>
        <w:rPr>
          <w:rFonts w:hint="eastAsia"/>
        </w:rPr>
        <w:lastRenderedPageBreak/>
        <w:t>六、董事会对上年度</w:t>
      </w:r>
      <w:r>
        <w:rPr>
          <w:rFonts w:cs="Times New Roman"/>
        </w:rPr>
        <w:t>“</w:t>
      </w:r>
      <w:r>
        <w:rPr>
          <w:rFonts w:hint="eastAsia"/>
        </w:rPr>
        <w:t>非标准审计报告</w:t>
      </w:r>
      <w:r>
        <w:rPr>
          <w:rFonts w:cs="Times New Roman"/>
        </w:rPr>
        <w:t>”</w:t>
      </w:r>
      <w:r>
        <w:rPr>
          <w:rFonts w:hint="eastAsia"/>
        </w:rPr>
        <w:t>相关情况的说明</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Chapter"/>
        <w:outlineLvl w:val="1"/>
        <w:rPr>
          <w:rFonts w:eastAsia="Times New Roman" w:cs="Times New Roman"/>
        </w:rPr>
      </w:pPr>
      <w:r>
        <w:rPr>
          <w:rFonts w:hint="eastAsia"/>
        </w:rPr>
        <w:t>七、破产重整相关事项</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公司报告期未发生破产重整相关事项。</w:t>
      </w:r>
    </w:p>
    <w:p w:rsidR="00A9288A" w:rsidRDefault="007A4434">
      <w:pPr>
        <w:pStyle w:val="Chapter"/>
        <w:outlineLvl w:val="1"/>
        <w:rPr>
          <w:rFonts w:eastAsia="Times New Roman" w:cs="Times New Roman"/>
        </w:rPr>
      </w:pPr>
      <w:r>
        <w:rPr>
          <w:rFonts w:hint="eastAsia"/>
        </w:rPr>
        <w:t>八、诉讼事项</w:t>
      </w:r>
    </w:p>
    <w:p w:rsidR="00A9288A" w:rsidRDefault="007A4434">
      <w:pPr>
        <w:jc w:val="left"/>
        <w:rPr>
          <w:rFonts w:eastAsia="Times New Roman" w:cs="Times New Roman"/>
        </w:rPr>
      </w:pPr>
      <w:r>
        <w:rPr>
          <w:rFonts w:hint="eastAsia"/>
        </w:rPr>
        <w:t>重大诉讼仲裁事项</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本报告期公司无重大诉讼、仲裁事项。</w:t>
      </w:r>
    </w:p>
    <w:p w:rsidR="00A9288A" w:rsidRDefault="007A4434">
      <w:pPr>
        <w:jc w:val="left"/>
        <w:rPr>
          <w:rFonts w:eastAsia="Times New Roman" w:cs="Times New Roman"/>
        </w:rPr>
      </w:pPr>
      <w:r>
        <w:rPr>
          <w:rFonts w:hint="eastAsia"/>
        </w:rPr>
        <w:t>其他诉讼事项</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Chapter"/>
        <w:outlineLvl w:val="1"/>
        <w:rPr>
          <w:rFonts w:eastAsia="Times New Roman" w:cs="Times New Roman"/>
        </w:rPr>
      </w:pPr>
      <w:r>
        <w:rPr>
          <w:rFonts w:hint="eastAsia"/>
        </w:rPr>
        <w:t>九、媒体质疑情况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本报告期公司无媒体普遍质疑事项。</w:t>
      </w:r>
    </w:p>
    <w:p w:rsidR="00A9288A" w:rsidRDefault="007A4434">
      <w:pPr>
        <w:pStyle w:val="Chapter"/>
        <w:outlineLvl w:val="1"/>
        <w:rPr>
          <w:rFonts w:eastAsia="Times New Roman" w:cs="Times New Roman"/>
        </w:rPr>
      </w:pPr>
      <w:r>
        <w:rPr>
          <w:rFonts w:hint="eastAsia"/>
        </w:rPr>
        <w:t>十、处罚及整改情况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公司报告期不存在处罚及整改情况。</w:t>
      </w:r>
    </w:p>
    <w:p w:rsidR="00A9288A" w:rsidRDefault="007A4434">
      <w:pPr>
        <w:pStyle w:val="Chapter"/>
        <w:outlineLvl w:val="1"/>
        <w:rPr>
          <w:rFonts w:eastAsia="Times New Roman" w:cs="Times New Roman"/>
        </w:rPr>
      </w:pPr>
      <w:r>
        <w:rPr>
          <w:rFonts w:hint="eastAsia"/>
        </w:rPr>
        <w:t>十一、公司及其控股股东、实际控制人的诚信状况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Chapter"/>
        <w:outlineLvl w:val="1"/>
        <w:rPr>
          <w:rFonts w:eastAsia="Times New Roman" w:cs="Times New Roman"/>
        </w:rPr>
      </w:pPr>
      <w:r>
        <w:rPr>
          <w:rFonts w:hint="eastAsia"/>
        </w:rPr>
        <w:t>十二、公司股权激励计划、员工持股计划或其他员工激励措施的实施情况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autoSpaceDE w:val="0"/>
        <w:autoSpaceDN w:val="0"/>
        <w:adjustRightInd w:val="0"/>
        <w:ind w:firstLine="360"/>
        <w:rPr>
          <w:rFonts w:eastAsia="Times New Roman" w:cs="Times New Roman"/>
          <w:kern w:val="0"/>
          <w:sz w:val="21"/>
          <w:szCs w:val="21"/>
          <w:lang w:val="zh-CN"/>
        </w:rPr>
      </w:pPr>
      <w:r>
        <w:rPr>
          <w:rFonts w:ascii="宋体" w:hAnsi="宋体" w:hint="eastAsia"/>
          <w:kern w:val="0"/>
          <w:sz w:val="21"/>
          <w:szCs w:val="21"/>
          <w:lang w:val="zh-CN"/>
        </w:rPr>
        <w:t>公司于</w:t>
      </w:r>
      <w:r>
        <w:rPr>
          <w:rFonts w:eastAsia="Times New Roman" w:cs="Times New Roman"/>
          <w:kern w:val="0"/>
          <w:sz w:val="21"/>
          <w:szCs w:val="21"/>
          <w:lang w:val="zh-CN"/>
        </w:rPr>
        <w:t>2018</w:t>
      </w:r>
      <w:r>
        <w:rPr>
          <w:rFonts w:ascii="宋体" w:hAnsi="宋体" w:hint="eastAsia"/>
          <w:kern w:val="0"/>
          <w:sz w:val="21"/>
          <w:szCs w:val="21"/>
          <w:lang w:val="zh-CN"/>
        </w:rPr>
        <w:t>年</w:t>
      </w:r>
      <w:r>
        <w:rPr>
          <w:rFonts w:eastAsia="Times New Roman" w:cs="Times New Roman"/>
          <w:kern w:val="0"/>
          <w:sz w:val="21"/>
          <w:szCs w:val="21"/>
          <w:lang w:val="zh-CN"/>
        </w:rPr>
        <w:t>2</w:t>
      </w:r>
      <w:r>
        <w:rPr>
          <w:rFonts w:ascii="宋体" w:hAnsi="宋体" w:hint="eastAsia"/>
          <w:kern w:val="0"/>
          <w:sz w:val="21"/>
          <w:szCs w:val="21"/>
          <w:lang w:val="zh-CN"/>
        </w:rPr>
        <w:t>月</w:t>
      </w:r>
      <w:r>
        <w:rPr>
          <w:rFonts w:eastAsia="Times New Roman" w:cs="Times New Roman"/>
          <w:kern w:val="0"/>
          <w:sz w:val="21"/>
          <w:szCs w:val="21"/>
          <w:lang w:val="zh-CN"/>
        </w:rPr>
        <w:t>22</w:t>
      </w:r>
      <w:r>
        <w:rPr>
          <w:rFonts w:ascii="宋体" w:hAnsi="宋体" w:hint="eastAsia"/>
          <w:kern w:val="0"/>
          <w:sz w:val="21"/>
          <w:szCs w:val="21"/>
          <w:lang w:val="zh-CN"/>
        </w:rPr>
        <w:t>日召开</w:t>
      </w:r>
      <w:r>
        <w:rPr>
          <w:rFonts w:eastAsia="Times New Roman" w:cs="Times New Roman"/>
          <w:kern w:val="0"/>
          <w:sz w:val="21"/>
          <w:szCs w:val="21"/>
          <w:lang w:val="zh-CN"/>
        </w:rPr>
        <w:t>2018</w:t>
      </w:r>
      <w:r>
        <w:rPr>
          <w:rFonts w:ascii="宋体" w:hAnsi="宋体" w:hint="eastAsia"/>
          <w:kern w:val="0"/>
          <w:sz w:val="21"/>
          <w:szCs w:val="21"/>
          <w:lang w:val="zh-CN"/>
        </w:rPr>
        <w:t>年第一次临时股东大会，审议通过了《关于回购公司股份以激励员工预案的议案》，并于</w:t>
      </w:r>
      <w:r>
        <w:rPr>
          <w:rFonts w:eastAsia="Times New Roman" w:cs="Times New Roman"/>
          <w:kern w:val="0"/>
          <w:sz w:val="21"/>
          <w:szCs w:val="21"/>
          <w:lang w:val="zh-CN"/>
        </w:rPr>
        <w:t>2018</w:t>
      </w:r>
      <w:r>
        <w:rPr>
          <w:rFonts w:ascii="宋体" w:hAnsi="宋体" w:hint="eastAsia"/>
          <w:kern w:val="0"/>
          <w:sz w:val="21"/>
          <w:szCs w:val="21"/>
          <w:lang w:val="zh-CN"/>
        </w:rPr>
        <w:t>年</w:t>
      </w:r>
      <w:r>
        <w:rPr>
          <w:rFonts w:eastAsia="Times New Roman" w:cs="Times New Roman"/>
          <w:kern w:val="0"/>
          <w:sz w:val="21"/>
          <w:szCs w:val="21"/>
          <w:lang w:val="zh-CN"/>
        </w:rPr>
        <w:t>3</w:t>
      </w:r>
      <w:r>
        <w:rPr>
          <w:rFonts w:ascii="宋体" w:hAnsi="宋体" w:hint="eastAsia"/>
          <w:kern w:val="0"/>
          <w:sz w:val="21"/>
          <w:szCs w:val="21"/>
          <w:lang w:val="zh-CN"/>
        </w:rPr>
        <w:t>月</w:t>
      </w:r>
      <w:r>
        <w:rPr>
          <w:rFonts w:eastAsia="Times New Roman" w:cs="Times New Roman"/>
          <w:kern w:val="0"/>
          <w:sz w:val="21"/>
          <w:szCs w:val="21"/>
          <w:lang w:val="zh-CN"/>
        </w:rPr>
        <w:t>6</w:t>
      </w:r>
      <w:r>
        <w:rPr>
          <w:rFonts w:ascii="宋体" w:hAnsi="宋体" w:hint="eastAsia"/>
          <w:kern w:val="0"/>
          <w:sz w:val="21"/>
          <w:szCs w:val="21"/>
          <w:lang w:val="zh-CN"/>
        </w:rPr>
        <w:t>日披露了《关于回购公司股份以激励员工的报告书》。公司计划自股东大会审议通过本次回购股份方案之日起不超过十二个月内，通过证券交易所集中竞价、大宗交易以及法律法规许可的其他方式，以不超过人民币</w:t>
      </w:r>
      <w:r>
        <w:rPr>
          <w:rFonts w:eastAsia="Times New Roman" w:cs="Times New Roman"/>
          <w:kern w:val="0"/>
          <w:sz w:val="21"/>
          <w:szCs w:val="21"/>
          <w:lang w:val="zh-CN"/>
        </w:rPr>
        <w:t>22</w:t>
      </w:r>
      <w:r>
        <w:rPr>
          <w:rFonts w:ascii="宋体" w:hAnsi="宋体" w:hint="eastAsia"/>
          <w:kern w:val="0"/>
          <w:sz w:val="21"/>
          <w:szCs w:val="21"/>
          <w:lang w:val="zh-CN"/>
        </w:rPr>
        <w:t>元</w:t>
      </w:r>
      <w:r>
        <w:rPr>
          <w:rFonts w:eastAsia="Times New Roman" w:cs="Times New Roman"/>
          <w:kern w:val="0"/>
          <w:sz w:val="21"/>
          <w:szCs w:val="21"/>
          <w:lang w:val="zh-CN"/>
        </w:rPr>
        <w:t>/</w:t>
      </w:r>
      <w:r>
        <w:rPr>
          <w:rFonts w:ascii="宋体" w:hAnsi="宋体" w:hint="eastAsia"/>
          <w:kern w:val="0"/>
          <w:sz w:val="21"/>
          <w:szCs w:val="21"/>
          <w:lang w:val="zh-CN"/>
        </w:rPr>
        <w:t>股的回购价格，自筹资金人民币</w:t>
      </w:r>
      <w:r>
        <w:rPr>
          <w:rFonts w:eastAsia="Times New Roman" w:cs="Times New Roman"/>
          <w:kern w:val="0"/>
          <w:sz w:val="21"/>
          <w:szCs w:val="21"/>
          <w:lang w:val="zh-CN"/>
        </w:rPr>
        <w:t>3000</w:t>
      </w:r>
      <w:r>
        <w:rPr>
          <w:rFonts w:ascii="宋体" w:hAnsi="宋体" w:hint="eastAsia"/>
          <w:kern w:val="0"/>
          <w:sz w:val="21"/>
          <w:szCs w:val="21"/>
          <w:lang w:val="zh-CN"/>
        </w:rPr>
        <w:t>万元</w:t>
      </w:r>
      <w:r>
        <w:rPr>
          <w:rFonts w:eastAsia="Times New Roman" w:cs="Times New Roman"/>
          <w:kern w:val="0"/>
          <w:sz w:val="21"/>
          <w:szCs w:val="21"/>
          <w:lang w:val="zh-CN"/>
        </w:rPr>
        <w:t>-1</w:t>
      </w:r>
      <w:r>
        <w:rPr>
          <w:rFonts w:ascii="宋体" w:hAnsi="宋体" w:hint="eastAsia"/>
          <w:kern w:val="0"/>
          <w:sz w:val="21"/>
          <w:szCs w:val="21"/>
          <w:lang w:val="zh-CN"/>
        </w:rPr>
        <w:t>亿元，回购公司股票用于股权激励或员工持股计划，预计可回购股份数量为</w:t>
      </w:r>
      <w:r>
        <w:rPr>
          <w:rFonts w:eastAsia="Times New Roman" w:cs="Times New Roman"/>
          <w:kern w:val="0"/>
          <w:sz w:val="21"/>
          <w:szCs w:val="21"/>
          <w:lang w:val="zh-CN"/>
        </w:rPr>
        <w:t>136.3636</w:t>
      </w:r>
      <w:r>
        <w:rPr>
          <w:rFonts w:ascii="宋体" w:hAnsi="宋体" w:hint="eastAsia"/>
          <w:kern w:val="0"/>
          <w:sz w:val="21"/>
          <w:szCs w:val="21"/>
          <w:lang w:val="zh-CN"/>
        </w:rPr>
        <w:t>万股至</w:t>
      </w:r>
      <w:r>
        <w:rPr>
          <w:rFonts w:eastAsia="Times New Roman" w:cs="Times New Roman"/>
          <w:kern w:val="0"/>
          <w:sz w:val="21"/>
          <w:szCs w:val="21"/>
          <w:lang w:val="zh-CN"/>
        </w:rPr>
        <w:t>454.5454</w:t>
      </w:r>
      <w:r>
        <w:rPr>
          <w:rFonts w:ascii="宋体" w:hAnsi="宋体" w:hint="eastAsia"/>
          <w:kern w:val="0"/>
          <w:sz w:val="21"/>
          <w:szCs w:val="21"/>
          <w:lang w:val="zh-CN"/>
        </w:rPr>
        <w:t>万股以上，占公司目前已发行总股本比例约</w:t>
      </w:r>
      <w:r>
        <w:rPr>
          <w:rFonts w:eastAsia="Times New Roman" w:cs="Times New Roman"/>
          <w:kern w:val="0"/>
          <w:sz w:val="21"/>
          <w:szCs w:val="21"/>
          <w:lang w:val="zh-CN"/>
        </w:rPr>
        <w:t>0.38%</w:t>
      </w:r>
      <w:r>
        <w:rPr>
          <w:rFonts w:ascii="宋体" w:hAnsi="宋体" w:hint="eastAsia"/>
          <w:kern w:val="0"/>
          <w:sz w:val="21"/>
          <w:szCs w:val="21"/>
          <w:lang w:val="zh-CN"/>
        </w:rPr>
        <w:t>至</w:t>
      </w:r>
      <w:r>
        <w:rPr>
          <w:rFonts w:eastAsia="Times New Roman" w:cs="Times New Roman"/>
          <w:kern w:val="0"/>
          <w:sz w:val="21"/>
          <w:szCs w:val="21"/>
          <w:lang w:val="zh-CN"/>
        </w:rPr>
        <w:t>1.25%</w:t>
      </w:r>
      <w:r>
        <w:rPr>
          <w:rFonts w:ascii="宋体" w:hAnsi="宋体" w:hint="eastAsia"/>
          <w:kern w:val="0"/>
          <w:sz w:val="21"/>
          <w:szCs w:val="21"/>
          <w:lang w:val="zh-CN"/>
        </w:rPr>
        <w:t>以上。公司后续将根据市场情况继续在回购期限内实施回购计划以用于股权激励或员工持股计划。</w:t>
      </w:r>
    </w:p>
    <w:p w:rsidR="00A9288A" w:rsidRDefault="007A4434">
      <w:pPr>
        <w:pStyle w:val="Chapter"/>
        <w:outlineLvl w:val="1"/>
        <w:rPr>
          <w:rFonts w:eastAsia="Times New Roman" w:cs="Times New Roman"/>
        </w:rPr>
      </w:pPr>
      <w:r>
        <w:rPr>
          <w:rFonts w:hint="eastAsia"/>
        </w:rPr>
        <w:lastRenderedPageBreak/>
        <w:t>十三、重大关联交易</w:t>
      </w:r>
    </w:p>
    <w:p w:rsidR="00A9288A" w:rsidRDefault="007A4434">
      <w:pPr>
        <w:pStyle w:val="Section"/>
        <w:outlineLvl w:val="2"/>
        <w:rPr>
          <w:rFonts w:eastAsia="Times New Roman" w:cs="Times New Roman"/>
        </w:rPr>
      </w:pPr>
      <w:r>
        <w:rPr>
          <w:rFonts w:cs="Times New Roman"/>
        </w:rPr>
        <w:t>1</w:t>
      </w:r>
      <w:r>
        <w:rPr>
          <w:rFonts w:hint="eastAsia"/>
        </w:rPr>
        <w:t>、与日常经营相关的关联交易</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公司报告期未发生与日常经营相关的关联交易。</w:t>
      </w:r>
    </w:p>
    <w:p w:rsidR="00A9288A" w:rsidRDefault="007A4434">
      <w:pPr>
        <w:pStyle w:val="Section"/>
        <w:outlineLvl w:val="2"/>
        <w:rPr>
          <w:rFonts w:eastAsia="Times New Roman" w:cs="Times New Roman"/>
        </w:rPr>
      </w:pPr>
      <w:r>
        <w:rPr>
          <w:rFonts w:cs="Times New Roman"/>
        </w:rPr>
        <w:t>2</w:t>
      </w:r>
      <w:r>
        <w:rPr>
          <w:rFonts w:hint="eastAsia"/>
        </w:rPr>
        <w:t>、资产或股权收购、出售发生的关联交易</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公司报告期未发生资产或股权收购、出售的关联交易。</w:t>
      </w:r>
    </w:p>
    <w:p w:rsidR="00A9288A" w:rsidRDefault="007A4434">
      <w:pPr>
        <w:pStyle w:val="Section"/>
        <w:outlineLvl w:val="2"/>
        <w:rPr>
          <w:rFonts w:eastAsia="Times New Roman" w:cs="Times New Roman"/>
        </w:rPr>
      </w:pPr>
      <w:r>
        <w:rPr>
          <w:rFonts w:cs="Times New Roman"/>
        </w:rPr>
        <w:t>3</w:t>
      </w:r>
      <w:r>
        <w:rPr>
          <w:rFonts w:hint="eastAsia"/>
        </w:rPr>
        <w:t>、共同对外投资的关联交易</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公司报告期未发生共同对外投资的关联交易。</w:t>
      </w:r>
    </w:p>
    <w:p w:rsidR="00A9288A" w:rsidRDefault="007A4434">
      <w:pPr>
        <w:pStyle w:val="Section"/>
        <w:outlineLvl w:val="2"/>
        <w:rPr>
          <w:rFonts w:eastAsia="Times New Roman" w:cs="Times New Roman"/>
        </w:rPr>
      </w:pPr>
      <w:r>
        <w:rPr>
          <w:rFonts w:cs="Times New Roman"/>
        </w:rPr>
        <w:t>4</w:t>
      </w:r>
      <w:r>
        <w:rPr>
          <w:rFonts w:hint="eastAsia"/>
        </w:rPr>
        <w:t>、关联债权债务往来</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公司报告期不存在关联债权债务往来。</w:t>
      </w:r>
    </w:p>
    <w:p w:rsidR="00A9288A" w:rsidRDefault="007A4434">
      <w:pPr>
        <w:pStyle w:val="Section"/>
        <w:outlineLvl w:val="2"/>
        <w:rPr>
          <w:rFonts w:eastAsia="Times New Roman" w:cs="Times New Roman"/>
        </w:rPr>
      </w:pPr>
      <w:r>
        <w:rPr>
          <w:rFonts w:cs="Times New Roman"/>
        </w:rPr>
        <w:t>5</w:t>
      </w:r>
      <w:r>
        <w:rPr>
          <w:rFonts w:hint="eastAsia"/>
        </w:rPr>
        <w:t>、其他重大关联交易</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公司报告期无其他重大关联交易。</w:t>
      </w:r>
    </w:p>
    <w:p w:rsidR="00A9288A" w:rsidRDefault="007A4434">
      <w:pPr>
        <w:pStyle w:val="Chapter"/>
        <w:outlineLvl w:val="1"/>
        <w:rPr>
          <w:rFonts w:eastAsia="Times New Roman" w:cs="Times New Roman"/>
        </w:rPr>
      </w:pPr>
      <w:r>
        <w:rPr>
          <w:rFonts w:hint="eastAsia"/>
        </w:rPr>
        <w:t>十四、重大合同及其履行情况</w:t>
      </w:r>
    </w:p>
    <w:p w:rsidR="00A9288A" w:rsidRDefault="007A4434">
      <w:pPr>
        <w:pStyle w:val="Section"/>
        <w:outlineLvl w:val="2"/>
        <w:rPr>
          <w:rFonts w:eastAsia="Times New Roman" w:cs="Times New Roman"/>
        </w:rPr>
      </w:pPr>
      <w:r>
        <w:rPr>
          <w:rFonts w:cs="Times New Roman"/>
        </w:rPr>
        <w:t>1</w:t>
      </w:r>
      <w:r>
        <w:rPr>
          <w:rFonts w:hint="eastAsia"/>
        </w:rPr>
        <w:t>、托管、承包、租赁事项情况</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）托管情况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公司报告期不存在托管情况。</w:t>
      </w: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）承包情况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公司报告期不存在承包情况。</w:t>
      </w:r>
    </w:p>
    <w:p w:rsidR="00A9288A" w:rsidRDefault="007A4434">
      <w:pPr>
        <w:pStyle w:val="Section"/>
        <w:outlineLvl w:val="3"/>
        <w:rPr>
          <w:rFonts w:eastAsia="Times New Roman" w:cs="Times New Roman"/>
        </w:rPr>
      </w:pPr>
      <w:r>
        <w:rPr>
          <w:rFonts w:hint="eastAsia"/>
        </w:rPr>
        <w:t>（</w:t>
      </w:r>
      <w:r>
        <w:rPr>
          <w:rFonts w:cs="Times New Roman"/>
        </w:rPr>
        <w:t>3</w:t>
      </w:r>
      <w:r>
        <w:rPr>
          <w:rFonts w:hint="eastAsia"/>
        </w:rPr>
        <w:t>）租赁情况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lastRenderedPageBreak/>
        <w:t>公司报告期不存在租赁情况。</w:t>
      </w:r>
    </w:p>
    <w:p w:rsidR="00A9288A" w:rsidRDefault="007A4434">
      <w:pPr>
        <w:pStyle w:val="Section"/>
        <w:outlineLvl w:val="2"/>
        <w:rPr>
          <w:rFonts w:eastAsia="Times New Roman" w:cs="Times New Roman"/>
        </w:rPr>
      </w:pPr>
      <w:r>
        <w:rPr>
          <w:rFonts w:cs="Times New Roman"/>
        </w:rPr>
        <w:t>2</w:t>
      </w:r>
      <w:r>
        <w:rPr>
          <w:rFonts w:hint="eastAsia"/>
        </w:rPr>
        <w:t>、重大担保</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）担保情况</w:t>
      </w:r>
    </w:p>
    <w:p w:rsidR="00A9288A" w:rsidRDefault="007A4434">
      <w:pPr>
        <w:jc w:val="right"/>
        <w:rPr>
          <w:rFonts w:eastAsia="Times New Roman" w:cs="Times New Roman"/>
        </w:rPr>
      </w:pPr>
      <w:r>
        <w:rPr>
          <w:rFonts w:hint="eastAsia"/>
        </w:rPr>
        <w:t>单位：万元</w:t>
      </w:r>
    </w:p>
    <w:tbl>
      <w:tblPr>
        <w:tblW w:w="0" w:type="auto"/>
        <w:tblInd w:w="28" w:type="dxa"/>
        <w:tblLayout w:type="fixed"/>
        <w:tblCellMar>
          <w:left w:w="28" w:type="dxa"/>
          <w:right w:w="28" w:type="dxa"/>
        </w:tblCellMar>
        <w:tblLook w:val="0000" w:firstRow="0" w:lastRow="0" w:firstColumn="0" w:lastColumn="0" w:noHBand="0" w:noVBand="0"/>
      </w:tblPr>
      <w:tblGrid>
        <w:gridCol w:w="1598"/>
        <w:gridCol w:w="7"/>
        <w:gridCol w:w="922"/>
        <w:gridCol w:w="14"/>
        <w:gridCol w:w="7"/>
        <w:gridCol w:w="909"/>
        <w:gridCol w:w="23"/>
        <w:gridCol w:w="1172"/>
        <w:gridCol w:w="40"/>
        <w:gridCol w:w="1154"/>
        <w:gridCol w:w="25"/>
        <w:gridCol w:w="1037"/>
        <w:gridCol w:w="57"/>
        <w:gridCol w:w="1011"/>
        <w:gridCol w:w="7"/>
        <w:gridCol w:w="789"/>
        <w:gridCol w:w="10"/>
        <w:gridCol w:w="789"/>
      </w:tblGrid>
      <w:tr w:rsidR="00A9288A">
        <w:tc>
          <w:tcPr>
            <w:tcW w:w="9571" w:type="dxa"/>
            <w:gridSpan w:val="18"/>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公司对外担保情况（不包括对子公司的担保）</w:t>
            </w:r>
          </w:p>
        </w:tc>
      </w:tr>
      <w:tr w:rsidR="00A9288A">
        <w:tc>
          <w:tcPr>
            <w:tcW w:w="1605"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担保对象名称</w:t>
            </w:r>
          </w:p>
        </w:tc>
        <w:tc>
          <w:tcPr>
            <w:tcW w:w="943"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担保额度相关公告披露日期</w:t>
            </w:r>
          </w:p>
        </w:tc>
        <w:tc>
          <w:tcPr>
            <w:tcW w:w="932"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担保额度</w:t>
            </w:r>
          </w:p>
        </w:tc>
        <w:tc>
          <w:tcPr>
            <w:tcW w:w="1212"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实际发生日期（协议签署日）</w:t>
            </w:r>
          </w:p>
        </w:tc>
        <w:tc>
          <w:tcPr>
            <w:tcW w:w="1179"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实际担保金额</w:t>
            </w:r>
          </w:p>
        </w:tc>
        <w:tc>
          <w:tcPr>
            <w:tcW w:w="1094"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担保类型</w:t>
            </w:r>
          </w:p>
        </w:tc>
        <w:tc>
          <w:tcPr>
            <w:tcW w:w="1018"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担保期</w:t>
            </w:r>
          </w:p>
        </w:tc>
        <w:tc>
          <w:tcPr>
            <w:tcW w:w="799"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是否履行完毕</w:t>
            </w:r>
          </w:p>
        </w:tc>
        <w:tc>
          <w:tcPr>
            <w:tcW w:w="7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是否为关联方担保</w:t>
            </w:r>
          </w:p>
        </w:tc>
      </w:tr>
      <w:tr w:rsidR="00A9288A">
        <w:tc>
          <w:tcPr>
            <w:tcW w:w="160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中关村担保公司</w:t>
            </w:r>
          </w:p>
        </w:tc>
        <w:tc>
          <w:tcPr>
            <w:tcW w:w="943"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2015</w:t>
            </w:r>
            <w:r>
              <w:rPr>
                <w:rFonts w:hint="eastAsia"/>
              </w:rPr>
              <w:t>年</w:t>
            </w:r>
            <w:r>
              <w:rPr>
                <w:rFonts w:cs="Times New Roman"/>
              </w:rPr>
              <w:t>12</w:t>
            </w:r>
            <w:r>
              <w:rPr>
                <w:rFonts w:hint="eastAsia"/>
              </w:rPr>
              <w:t>月</w:t>
            </w:r>
            <w:r>
              <w:rPr>
                <w:rFonts w:cs="Times New Roman"/>
              </w:rPr>
              <w:t>01</w:t>
            </w:r>
            <w:r>
              <w:rPr>
                <w:rFonts w:hint="eastAsia"/>
              </w:rPr>
              <w:t>日</w:t>
            </w:r>
          </w:p>
        </w:tc>
        <w:tc>
          <w:tcPr>
            <w:tcW w:w="93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2,400</w:t>
            </w:r>
          </w:p>
        </w:tc>
        <w:tc>
          <w:tcPr>
            <w:tcW w:w="121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2015</w:t>
            </w:r>
            <w:r>
              <w:rPr>
                <w:rFonts w:hint="eastAsia"/>
              </w:rPr>
              <w:t>年</w:t>
            </w:r>
            <w:r>
              <w:rPr>
                <w:rFonts w:cs="Times New Roman"/>
              </w:rPr>
              <w:t>12</w:t>
            </w:r>
            <w:r>
              <w:rPr>
                <w:rFonts w:hint="eastAsia"/>
              </w:rPr>
              <w:t>月</w:t>
            </w:r>
            <w:r>
              <w:rPr>
                <w:rFonts w:cs="Times New Roman"/>
              </w:rPr>
              <w:t>03</w:t>
            </w:r>
            <w:r>
              <w:rPr>
                <w:rFonts w:hint="eastAsia"/>
              </w:rPr>
              <w:t>日</w:t>
            </w:r>
          </w:p>
        </w:tc>
        <w:tc>
          <w:tcPr>
            <w:tcW w:w="117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2,400</w:t>
            </w:r>
          </w:p>
        </w:tc>
        <w:tc>
          <w:tcPr>
            <w:tcW w:w="109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抵押</w:t>
            </w:r>
          </w:p>
        </w:tc>
        <w:tc>
          <w:tcPr>
            <w:tcW w:w="101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10</w:t>
            </w:r>
          </w:p>
        </w:tc>
        <w:tc>
          <w:tcPr>
            <w:tcW w:w="79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7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r>
      <w:tr w:rsidR="00A9288A">
        <w:tc>
          <w:tcPr>
            <w:tcW w:w="2541"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报告期内审批的对外担保额度合计（</w:t>
            </w:r>
            <w:r>
              <w:rPr>
                <w:rFonts w:cs="Times New Roman"/>
              </w:rPr>
              <w:t>A1</w:t>
            </w:r>
            <w:r>
              <w:rPr>
                <w:rFonts w:hint="eastAsia"/>
              </w:rPr>
              <w:t>）</w:t>
            </w:r>
          </w:p>
        </w:tc>
        <w:tc>
          <w:tcPr>
            <w:tcW w:w="2151"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2273"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报告期内对外担保实际发生额合计（</w:t>
            </w:r>
            <w:r>
              <w:rPr>
                <w:rFonts w:cs="Times New Roman"/>
              </w:rPr>
              <w:t>A2</w:t>
            </w:r>
            <w:r>
              <w:rPr>
                <w:rFonts w:hint="eastAsia"/>
              </w:rPr>
              <w:t>）</w:t>
            </w:r>
          </w:p>
        </w:tc>
        <w:tc>
          <w:tcPr>
            <w:tcW w:w="2606"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r>
      <w:tr w:rsidR="00A9288A">
        <w:tc>
          <w:tcPr>
            <w:tcW w:w="2541"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报告期末已审批的对外担保额度合计（</w:t>
            </w:r>
            <w:r>
              <w:rPr>
                <w:rFonts w:cs="Times New Roman"/>
              </w:rPr>
              <w:t>A3</w:t>
            </w:r>
            <w:r>
              <w:rPr>
                <w:rFonts w:hint="eastAsia"/>
              </w:rPr>
              <w:t>）</w:t>
            </w:r>
          </w:p>
        </w:tc>
        <w:tc>
          <w:tcPr>
            <w:tcW w:w="2151"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2,400</w:t>
            </w:r>
          </w:p>
        </w:tc>
        <w:tc>
          <w:tcPr>
            <w:tcW w:w="2273"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报告期末实际对外担保余额合计（</w:t>
            </w:r>
            <w:r>
              <w:rPr>
                <w:rFonts w:cs="Times New Roman"/>
              </w:rPr>
              <w:t>A4</w:t>
            </w:r>
            <w:r>
              <w:rPr>
                <w:rFonts w:hint="eastAsia"/>
              </w:rPr>
              <w:t>）</w:t>
            </w:r>
          </w:p>
        </w:tc>
        <w:tc>
          <w:tcPr>
            <w:tcW w:w="2606"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2,400</w:t>
            </w:r>
          </w:p>
        </w:tc>
      </w:tr>
      <w:tr w:rsidR="00A9288A">
        <w:tc>
          <w:tcPr>
            <w:tcW w:w="9571" w:type="dxa"/>
            <w:gridSpan w:val="18"/>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公司对子公司的担保情况</w:t>
            </w:r>
          </w:p>
        </w:tc>
      </w:tr>
      <w:tr w:rsidR="00A9288A">
        <w:tc>
          <w:tcPr>
            <w:tcW w:w="1605"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担保对象名称</w:t>
            </w:r>
          </w:p>
        </w:tc>
        <w:tc>
          <w:tcPr>
            <w:tcW w:w="936"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担保额度相关公告披露日期</w:t>
            </w:r>
          </w:p>
        </w:tc>
        <w:tc>
          <w:tcPr>
            <w:tcW w:w="939"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担保额度</w:t>
            </w:r>
          </w:p>
        </w:tc>
        <w:tc>
          <w:tcPr>
            <w:tcW w:w="1212"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实际发生日期（协议签署日）</w:t>
            </w:r>
          </w:p>
        </w:tc>
        <w:tc>
          <w:tcPr>
            <w:tcW w:w="1179"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实际担保金额</w:t>
            </w:r>
          </w:p>
        </w:tc>
        <w:tc>
          <w:tcPr>
            <w:tcW w:w="1094"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担保类型</w:t>
            </w:r>
          </w:p>
        </w:tc>
        <w:tc>
          <w:tcPr>
            <w:tcW w:w="101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担保期</w:t>
            </w:r>
          </w:p>
        </w:tc>
        <w:tc>
          <w:tcPr>
            <w:tcW w:w="806"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是否履行完毕</w:t>
            </w:r>
          </w:p>
        </w:tc>
        <w:tc>
          <w:tcPr>
            <w:tcW w:w="7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是否为关联方担保</w:t>
            </w:r>
          </w:p>
        </w:tc>
      </w:tr>
      <w:tr w:rsidR="00A9288A">
        <w:tc>
          <w:tcPr>
            <w:tcW w:w="160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北京劳雷</w:t>
            </w:r>
          </w:p>
        </w:tc>
        <w:tc>
          <w:tcPr>
            <w:tcW w:w="93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2017</w:t>
            </w:r>
            <w:r>
              <w:rPr>
                <w:rFonts w:hint="eastAsia"/>
              </w:rPr>
              <w:t>年</w:t>
            </w:r>
            <w:r>
              <w:rPr>
                <w:rFonts w:cs="Times New Roman"/>
              </w:rPr>
              <w:t>08</w:t>
            </w:r>
            <w:r>
              <w:rPr>
                <w:rFonts w:hint="eastAsia"/>
              </w:rPr>
              <w:t>月</w:t>
            </w:r>
            <w:r>
              <w:rPr>
                <w:rFonts w:cs="Times New Roman"/>
              </w:rPr>
              <w:t>26</w:t>
            </w:r>
            <w:r>
              <w:rPr>
                <w:rFonts w:hint="eastAsia"/>
              </w:rPr>
              <w:t>日</w:t>
            </w:r>
          </w:p>
        </w:tc>
        <w:tc>
          <w:tcPr>
            <w:tcW w:w="93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900</w:t>
            </w:r>
          </w:p>
        </w:tc>
        <w:tc>
          <w:tcPr>
            <w:tcW w:w="121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2017</w:t>
            </w:r>
            <w:r>
              <w:rPr>
                <w:rFonts w:hint="eastAsia"/>
              </w:rPr>
              <w:t>年</w:t>
            </w:r>
            <w:r>
              <w:rPr>
                <w:rFonts w:cs="Times New Roman"/>
              </w:rPr>
              <w:t>08</w:t>
            </w:r>
            <w:r>
              <w:rPr>
                <w:rFonts w:hint="eastAsia"/>
              </w:rPr>
              <w:t>月</w:t>
            </w:r>
            <w:r>
              <w:rPr>
                <w:rFonts w:cs="Times New Roman"/>
              </w:rPr>
              <w:t>26</w:t>
            </w:r>
            <w:r>
              <w:rPr>
                <w:rFonts w:hint="eastAsia"/>
              </w:rPr>
              <w:t>日</w:t>
            </w:r>
          </w:p>
        </w:tc>
        <w:tc>
          <w:tcPr>
            <w:tcW w:w="117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900</w:t>
            </w:r>
          </w:p>
        </w:tc>
        <w:tc>
          <w:tcPr>
            <w:tcW w:w="109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连带责任保证</w:t>
            </w:r>
          </w:p>
        </w:tc>
        <w:tc>
          <w:tcPr>
            <w:tcW w:w="10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1</w:t>
            </w:r>
            <w:r>
              <w:rPr>
                <w:rFonts w:hint="eastAsia"/>
              </w:rPr>
              <w:t>年</w:t>
            </w:r>
          </w:p>
        </w:tc>
        <w:tc>
          <w:tcPr>
            <w:tcW w:w="80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7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r>
      <w:tr w:rsidR="00A9288A">
        <w:tc>
          <w:tcPr>
            <w:tcW w:w="160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香港海兰信</w:t>
            </w:r>
          </w:p>
        </w:tc>
        <w:tc>
          <w:tcPr>
            <w:tcW w:w="93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2017</w:t>
            </w:r>
            <w:r>
              <w:rPr>
                <w:rFonts w:hint="eastAsia"/>
              </w:rPr>
              <w:t>年</w:t>
            </w:r>
            <w:r>
              <w:rPr>
                <w:rFonts w:cs="Times New Roman"/>
              </w:rPr>
              <w:t>09</w:t>
            </w:r>
            <w:r>
              <w:rPr>
                <w:rFonts w:hint="eastAsia"/>
              </w:rPr>
              <w:t>月</w:t>
            </w:r>
            <w:r>
              <w:rPr>
                <w:rFonts w:cs="Times New Roman"/>
              </w:rPr>
              <w:t>29</w:t>
            </w:r>
            <w:r>
              <w:rPr>
                <w:rFonts w:hint="eastAsia"/>
              </w:rPr>
              <w:t>日</w:t>
            </w:r>
          </w:p>
        </w:tc>
        <w:tc>
          <w:tcPr>
            <w:tcW w:w="93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4,000</w:t>
            </w:r>
          </w:p>
        </w:tc>
        <w:tc>
          <w:tcPr>
            <w:tcW w:w="121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2017</w:t>
            </w:r>
            <w:r>
              <w:rPr>
                <w:rFonts w:hint="eastAsia"/>
              </w:rPr>
              <w:t>年</w:t>
            </w:r>
            <w:r>
              <w:rPr>
                <w:rFonts w:cs="Times New Roman"/>
              </w:rPr>
              <w:t>09</w:t>
            </w:r>
            <w:r>
              <w:rPr>
                <w:rFonts w:hint="eastAsia"/>
              </w:rPr>
              <w:t>月</w:t>
            </w:r>
            <w:r>
              <w:rPr>
                <w:rFonts w:cs="Times New Roman"/>
              </w:rPr>
              <w:t>29</w:t>
            </w:r>
            <w:r>
              <w:rPr>
                <w:rFonts w:hint="eastAsia"/>
              </w:rPr>
              <w:t>日</w:t>
            </w:r>
          </w:p>
        </w:tc>
        <w:tc>
          <w:tcPr>
            <w:tcW w:w="117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3,901.15</w:t>
            </w:r>
          </w:p>
        </w:tc>
        <w:tc>
          <w:tcPr>
            <w:tcW w:w="109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连带责任保证</w:t>
            </w:r>
          </w:p>
        </w:tc>
        <w:tc>
          <w:tcPr>
            <w:tcW w:w="10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6</w:t>
            </w:r>
            <w:r>
              <w:rPr>
                <w:rFonts w:hint="eastAsia"/>
              </w:rPr>
              <w:t>个月</w:t>
            </w:r>
          </w:p>
        </w:tc>
        <w:tc>
          <w:tcPr>
            <w:tcW w:w="80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是</w:t>
            </w:r>
          </w:p>
        </w:tc>
        <w:tc>
          <w:tcPr>
            <w:tcW w:w="7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r>
      <w:tr w:rsidR="00A9288A">
        <w:tc>
          <w:tcPr>
            <w:tcW w:w="160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劳雷海洋</w:t>
            </w:r>
          </w:p>
        </w:tc>
        <w:tc>
          <w:tcPr>
            <w:tcW w:w="93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2017</w:t>
            </w:r>
            <w:r>
              <w:rPr>
                <w:rFonts w:hint="eastAsia"/>
              </w:rPr>
              <w:t>年</w:t>
            </w:r>
            <w:r>
              <w:rPr>
                <w:rFonts w:cs="Times New Roman"/>
              </w:rPr>
              <w:t>09</w:t>
            </w:r>
            <w:r>
              <w:rPr>
                <w:rFonts w:hint="eastAsia"/>
              </w:rPr>
              <w:t>月</w:t>
            </w:r>
            <w:r>
              <w:rPr>
                <w:rFonts w:cs="Times New Roman"/>
              </w:rPr>
              <w:t>29</w:t>
            </w:r>
            <w:r>
              <w:rPr>
                <w:rFonts w:hint="eastAsia"/>
              </w:rPr>
              <w:t>日</w:t>
            </w:r>
          </w:p>
        </w:tc>
        <w:tc>
          <w:tcPr>
            <w:tcW w:w="93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1,736.79</w:t>
            </w:r>
          </w:p>
        </w:tc>
        <w:tc>
          <w:tcPr>
            <w:tcW w:w="121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2017</w:t>
            </w:r>
            <w:r>
              <w:rPr>
                <w:rFonts w:hint="eastAsia"/>
              </w:rPr>
              <w:t>年</w:t>
            </w:r>
            <w:r>
              <w:rPr>
                <w:rFonts w:cs="Times New Roman"/>
              </w:rPr>
              <w:t>09</w:t>
            </w:r>
            <w:r>
              <w:rPr>
                <w:rFonts w:hint="eastAsia"/>
              </w:rPr>
              <w:t>月</w:t>
            </w:r>
            <w:r>
              <w:rPr>
                <w:rFonts w:cs="Times New Roman"/>
              </w:rPr>
              <w:t>29</w:t>
            </w:r>
            <w:r>
              <w:rPr>
                <w:rFonts w:hint="eastAsia"/>
              </w:rPr>
              <w:t>日</w:t>
            </w:r>
          </w:p>
        </w:tc>
        <w:tc>
          <w:tcPr>
            <w:tcW w:w="117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1,517.58</w:t>
            </w:r>
          </w:p>
        </w:tc>
        <w:tc>
          <w:tcPr>
            <w:tcW w:w="109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连带责任保证</w:t>
            </w:r>
          </w:p>
        </w:tc>
        <w:tc>
          <w:tcPr>
            <w:tcW w:w="10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1</w:t>
            </w:r>
            <w:r>
              <w:rPr>
                <w:rFonts w:hint="eastAsia"/>
              </w:rPr>
              <w:t>年</w:t>
            </w:r>
          </w:p>
        </w:tc>
        <w:tc>
          <w:tcPr>
            <w:tcW w:w="80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7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r>
      <w:tr w:rsidR="00A9288A">
        <w:tc>
          <w:tcPr>
            <w:tcW w:w="160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海兰天澄</w:t>
            </w:r>
          </w:p>
        </w:tc>
        <w:tc>
          <w:tcPr>
            <w:tcW w:w="93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2017</w:t>
            </w:r>
            <w:r>
              <w:rPr>
                <w:rFonts w:hint="eastAsia"/>
              </w:rPr>
              <w:t>年</w:t>
            </w:r>
            <w:r>
              <w:rPr>
                <w:rFonts w:cs="Times New Roman"/>
              </w:rPr>
              <w:t>12</w:t>
            </w:r>
            <w:r>
              <w:rPr>
                <w:rFonts w:hint="eastAsia"/>
              </w:rPr>
              <w:t>月</w:t>
            </w:r>
            <w:r>
              <w:rPr>
                <w:rFonts w:cs="Times New Roman"/>
              </w:rPr>
              <w:t>06</w:t>
            </w:r>
            <w:r>
              <w:rPr>
                <w:rFonts w:hint="eastAsia"/>
              </w:rPr>
              <w:t>日</w:t>
            </w:r>
          </w:p>
        </w:tc>
        <w:tc>
          <w:tcPr>
            <w:tcW w:w="93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w:t>
            </w:r>
          </w:p>
        </w:tc>
        <w:tc>
          <w:tcPr>
            <w:tcW w:w="121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2018</w:t>
            </w:r>
            <w:r>
              <w:rPr>
                <w:rFonts w:hint="eastAsia"/>
              </w:rPr>
              <w:t>年</w:t>
            </w:r>
            <w:r>
              <w:rPr>
                <w:rFonts w:cs="Times New Roman"/>
              </w:rPr>
              <w:t>01</w:t>
            </w:r>
            <w:r>
              <w:rPr>
                <w:rFonts w:hint="eastAsia"/>
              </w:rPr>
              <w:t>月</w:t>
            </w:r>
            <w:r>
              <w:rPr>
                <w:rFonts w:cs="Times New Roman"/>
              </w:rPr>
              <w:t>04</w:t>
            </w:r>
            <w:r>
              <w:rPr>
                <w:rFonts w:hint="eastAsia"/>
              </w:rPr>
              <w:t>日</w:t>
            </w:r>
          </w:p>
        </w:tc>
        <w:tc>
          <w:tcPr>
            <w:tcW w:w="117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w:t>
            </w:r>
          </w:p>
        </w:tc>
        <w:tc>
          <w:tcPr>
            <w:tcW w:w="109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连带责任保证</w:t>
            </w:r>
          </w:p>
        </w:tc>
        <w:tc>
          <w:tcPr>
            <w:tcW w:w="10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w:t>
            </w:r>
            <w:r>
              <w:rPr>
                <w:rFonts w:hint="eastAsia"/>
              </w:rPr>
              <w:t>年</w:t>
            </w:r>
          </w:p>
        </w:tc>
        <w:tc>
          <w:tcPr>
            <w:tcW w:w="80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7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r>
      <w:tr w:rsidR="00A9288A">
        <w:tc>
          <w:tcPr>
            <w:tcW w:w="2541"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报告期末已审批的对子公司担保额度合计（</w:t>
            </w:r>
            <w:r>
              <w:rPr>
                <w:rFonts w:cs="Times New Roman"/>
              </w:rPr>
              <w:t>B3</w:t>
            </w:r>
            <w:r>
              <w:rPr>
                <w:rFonts w:hint="eastAsia"/>
              </w:rPr>
              <w:t>）</w:t>
            </w:r>
          </w:p>
        </w:tc>
        <w:tc>
          <w:tcPr>
            <w:tcW w:w="2151"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3,636.79</w:t>
            </w:r>
          </w:p>
        </w:tc>
        <w:tc>
          <w:tcPr>
            <w:tcW w:w="2273"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报告期末对子公司实际担保余额合计（</w:t>
            </w:r>
            <w:r>
              <w:rPr>
                <w:rFonts w:cs="Times New Roman"/>
              </w:rPr>
              <w:t>B4</w:t>
            </w:r>
            <w:r>
              <w:rPr>
                <w:rFonts w:hint="eastAsia"/>
              </w:rPr>
              <w:t>）</w:t>
            </w:r>
          </w:p>
        </w:tc>
        <w:tc>
          <w:tcPr>
            <w:tcW w:w="2606"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3,417.58</w:t>
            </w:r>
          </w:p>
        </w:tc>
      </w:tr>
      <w:tr w:rsidR="00A9288A">
        <w:tc>
          <w:tcPr>
            <w:tcW w:w="9571" w:type="dxa"/>
            <w:gridSpan w:val="18"/>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子公司对子公司的担保情况</w:t>
            </w:r>
          </w:p>
        </w:tc>
      </w:tr>
      <w:tr w:rsidR="00A9288A">
        <w:tc>
          <w:tcPr>
            <w:tcW w:w="159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担保对象名称</w:t>
            </w:r>
          </w:p>
        </w:tc>
        <w:tc>
          <w:tcPr>
            <w:tcW w:w="929"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担保额度相关公告披露日期</w:t>
            </w:r>
          </w:p>
        </w:tc>
        <w:tc>
          <w:tcPr>
            <w:tcW w:w="930"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担保额度</w:t>
            </w:r>
          </w:p>
        </w:tc>
        <w:tc>
          <w:tcPr>
            <w:tcW w:w="1195"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实际发生日期（协议签署日）</w:t>
            </w:r>
          </w:p>
        </w:tc>
        <w:tc>
          <w:tcPr>
            <w:tcW w:w="1194"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实际担保金额</w:t>
            </w:r>
          </w:p>
        </w:tc>
        <w:tc>
          <w:tcPr>
            <w:tcW w:w="1062"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担保类型</w:t>
            </w:r>
          </w:p>
        </w:tc>
        <w:tc>
          <w:tcPr>
            <w:tcW w:w="1068"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担保期</w:t>
            </w:r>
          </w:p>
        </w:tc>
        <w:tc>
          <w:tcPr>
            <w:tcW w:w="796"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是否履行完毕</w:t>
            </w:r>
          </w:p>
        </w:tc>
        <w:tc>
          <w:tcPr>
            <w:tcW w:w="799"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是否为关联方担保</w:t>
            </w:r>
          </w:p>
        </w:tc>
      </w:tr>
      <w:tr w:rsidR="00A9288A">
        <w:tc>
          <w:tcPr>
            <w:tcW w:w="15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 xml:space="preserve"> Summerview Company Limited </w:t>
            </w:r>
          </w:p>
        </w:tc>
        <w:tc>
          <w:tcPr>
            <w:tcW w:w="92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2017</w:t>
            </w:r>
            <w:r>
              <w:rPr>
                <w:rFonts w:hint="eastAsia"/>
              </w:rPr>
              <w:t>年</w:t>
            </w:r>
            <w:r>
              <w:rPr>
                <w:rFonts w:cs="Times New Roman"/>
              </w:rPr>
              <w:t>07</w:t>
            </w:r>
            <w:r>
              <w:rPr>
                <w:rFonts w:hint="eastAsia"/>
              </w:rPr>
              <w:t>月</w:t>
            </w:r>
            <w:r>
              <w:rPr>
                <w:rFonts w:cs="Times New Roman"/>
              </w:rPr>
              <w:t>06</w:t>
            </w:r>
            <w:r>
              <w:rPr>
                <w:rFonts w:hint="eastAsia"/>
              </w:rPr>
              <w:t>日</w:t>
            </w:r>
          </w:p>
        </w:tc>
        <w:tc>
          <w:tcPr>
            <w:tcW w:w="930"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16,000</w:t>
            </w:r>
          </w:p>
        </w:tc>
        <w:tc>
          <w:tcPr>
            <w:tcW w:w="119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2017</w:t>
            </w:r>
            <w:r>
              <w:rPr>
                <w:rFonts w:hint="eastAsia"/>
              </w:rPr>
              <w:t>年</w:t>
            </w:r>
            <w:r>
              <w:rPr>
                <w:rFonts w:cs="Times New Roman"/>
              </w:rPr>
              <w:t>09</w:t>
            </w:r>
            <w:r>
              <w:rPr>
                <w:rFonts w:hint="eastAsia"/>
              </w:rPr>
              <w:t>月</w:t>
            </w:r>
            <w:r>
              <w:rPr>
                <w:rFonts w:cs="Times New Roman"/>
              </w:rPr>
              <w:t>26</w:t>
            </w:r>
            <w:r>
              <w:rPr>
                <w:rFonts w:hint="eastAsia"/>
              </w:rPr>
              <w:t>日</w:t>
            </w:r>
          </w:p>
        </w:tc>
        <w:tc>
          <w:tcPr>
            <w:tcW w:w="119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8,700.8</w:t>
            </w:r>
          </w:p>
        </w:tc>
        <w:tc>
          <w:tcPr>
            <w:tcW w:w="106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质押</w:t>
            </w:r>
          </w:p>
        </w:tc>
        <w:tc>
          <w:tcPr>
            <w:tcW w:w="106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25</w:t>
            </w:r>
            <w:r>
              <w:rPr>
                <w:rFonts w:hint="eastAsia"/>
              </w:rPr>
              <w:t>个月</w:t>
            </w:r>
          </w:p>
        </w:tc>
        <w:tc>
          <w:tcPr>
            <w:tcW w:w="79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79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r>
      <w:tr w:rsidR="00A9288A">
        <w:tc>
          <w:tcPr>
            <w:tcW w:w="2541"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报告期末已审批的对子公司担</w:t>
            </w:r>
            <w:r>
              <w:rPr>
                <w:rFonts w:hint="eastAsia"/>
              </w:rPr>
              <w:lastRenderedPageBreak/>
              <w:t>保额度合计（</w:t>
            </w:r>
            <w:r>
              <w:rPr>
                <w:rFonts w:cs="Times New Roman"/>
              </w:rPr>
              <w:t>C3</w:t>
            </w:r>
            <w:r>
              <w:rPr>
                <w:rFonts w:hint="eastAsia"/>
              </w:rPr>
              <w:t>）</w:t>
            </w:r>
          </w:p>
        </w:tc>
        <w:tc>
          <w:tcPr>
            <w:tcW w:w="2151"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lastRenderedPageBreak/>
              <w:t>16,000</w:t>
            </w:r>
          </w:p>
        </w:tc>
        <w:tc>
          <w:tcPr>
            <w:tcW w:w="2273"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报告期末对子公司实际担保</w:t>
            </w:r>
            <w:r>
              <w:rPr>
                <w:rFonts w:hint="eastAsia"/>
              </w:rPr>
              <w:lastRenderedPageBreak/>
              <w:t>余额合计（</w:t>
            </w:r>
            <w:r>
              <w:rPr>
                <w:rFonts w:cs="Times New Roman"/>
              </w:rPr>
              <w:t>C4</w:t>
            </w:r>
            <w:r>
              <w:rPr>
                <w:rFonts w:hint="eastAsia"/>
              </w:rPr>
              <w:t>）</w:t>
            </w:r>
          </w:p>
        </w:tc>
        <w:tc>
          <w:tcPr>
            <w:tcW w:w="2606"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lastRenderedPageBreak/>
              <w:t>8,700.8</w:t>
            </w:r>
          </w:p>
        </w:tc>
      </w:tr>
      <w:tr w:rsidR="00A9288A">
        <w:tc>
          <w:tcPr>
            <w:tcW w:w="9571" w:type="dxa"/>
            <w:gridSpan w:val="18"/>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lastRenderedPageBreak/>
              <w:t>公司担保总额（即前三大项的合计）</w:t>
            </w:r>
          </w:p>
        </w:tc>
      </w:tr>
      <w:tr w:rsidR="00A9288A">
        <w:tc>
          <w:tcPr>
            <w:tcW w:w="2541"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报告期内审批担保额度合计（</w:t>
            </w:r>
            <w:r>
              <w:rPr>
                <w:rFonts w:cs="Times New Roman"/>
              </w:rPr>
              <w:t>A1+B1+C1</w:t>
            </w:r>
            <w:r>
              <w:rPr>
                <w:rFonts w:hint="eastAsia"/>
              </w:rPr>
              <w:t>）</w:t>
            </w:r>
          </w:p>
        </w:tc>
        <w:tc>
          <w:tcPr>
            <w:tcW w:w="2151"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2273"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报告期内担保实际发生额合计（</w:t>
            </w:r>
            <w:r>
              <w:rPr>
                <w:rFonts w:cs="Times New Roman"/>
              </w:rPr>
              <w:t>A2+B2+C2</w:t>
            </w:r>
            <w:r>
              <w:rPr>
                <w:rFonts w:hint="eastAsia"/>
              </w:rPr>
              <w:t>）</w:t>
            </w:r>
          </w:p>
        </w:tc>
        <w:tc>
          <w:tcPr>
            <w:tcW w:w="2606"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r>
      <w:tr w:rsidR="00A9288A">
        <w:tc>
          <w:tcPr>
            <w:tcW w:w="2541"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报告期末已审批的担保额度合计（</w:t>
            </w:r>
            <w:r>
              <w:rPr>
                <w:rFonts w:cs="Times New Roman"/>
              </w:rPr>
              <w:t>A3+B3+C3</w:t>
            </w:r>
            <w:r>
              <w:rPr>
                <w:rFonts w:hint="eastAsia"/>
              </w:rPr>
              <w:t>）</w:t>
            </w:r>
          </w:p>
        </w:tc>
        <w:tc>
          <w:tcPr>
            <w:tcW w:w="2151"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22,036.79</w:t>
            </w:r>
          </w:p>
        </w:tc>
        <w:tc>
          <w:tcPr>
            <w:tcW w:w="2273"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报告期末实际担保余额合计（</w:t>
            </w:r>
            <w:r>
              <w:rPr>
                <w:rFonts w:cs="Times New Roman"/>
              </w:rPr>
              <w:t>A4+B4+C4</w:t>
            </w:r>
            <w:r>
              <w:rPr>
                <w:rFonts w:hint="eastAsia"/>
              </w:rPr>
              <w:t>）</w:t>
            </w:r>
          </w:p>
        </w:tc>
        <w:tc>
          <w:tcPr>
            <w:tcW w:w="2606"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14,518.38</w:t>
            </w:r>
          </w:p>
        </w:tc>
      </w:tr>
      <w:tr w:rsidR="00A9288A">
        <w:tc>
          <w:tcPr>
            <w:tcW w:w="4692" w:type="dxa"/>
            <w:gridSpan w:val="9"/>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实际担保总额（即</w:t>
            </w:r>
            <w:r>
              <w:rPr>
                <w:rFonts w:cs="Times New Roman"/>
              </w:rPr>
              <w:t>A4+B4+C4</w:t>
            </w:r>
            <w:r>
              <w:rPr>
                <w:rFonts w:hint="eastAsia"/>
              </w:rPr>
              <w:t>）占公司净资产的比例</w:t>
            </w:r>
          </w:p>
        </w:tc>
        <w:tc>
          <w:tcPr>
            <w:tcW w:w="4879" w:type="dxa"/>
            <w:gridSpan w:val="9"/>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12.11%</w:t>
            </w:r>
          </w:p>
        </w:tc>
      </w:tr>
      <w:tr w:rsidR="00A9288A">
        <w:tc>
          <w:tcPr>
            <w:tcW w:w="9571" w:type="dxa"/>
            <w:gridSpan w:val="18"/>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其中：</w:t>
            </w:r>
          </w:p>
        </w:tc>
      </w:tr>
      <w:tr w:rsidR="00A9288A">
        <w:tc>
          <w:tcPr>
            <w:tcW w:w="4692" w:type="dxa"/>
            <w:gridSpan w:val="9"/>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为股东、实际控制人及其关联方提供担保的余额（</w:t>
            </w:r>
            <w:r>
              <w:rPr>
                <w:rFonts w:cs="Times New Roman"/>
              </w:rPr>
              <w:t>D</w:t>
            </w:r>
            <w:r>
              <w:rPr>
                <w:rFonts w:hint="eastAsia"/>
              </w:rPr>
              <w:t>）</w:t>
            </w:r>
          </w:p>
        </w:tc>
        <w:tc>
          <w:tcPr>
            <w:tcW w:w="4879" w:type="dxa"/>
            <w:gridSpan w:val="9"/>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r>
      <w:tr w:rsidR="00A9288A">
        <w:tc>
          <w:tcPr>
            <w:tcW w:w="4692" w:type="dxa"/>
            <w:gridSpan w:val="9"/>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直接或间接为资产负债率超过</w:t>
            </w:r>
            <w:r>
              <w:rPr>
                <w:rFonts w:cs="Times New Roman"/>
              </w:rPr>
              <w:t>70%</w:t>
            </w:r>
            <w:r>
              <w:rPr>
                <w:rFonts w:hint="eastAsia"/>
              </w:rPr>
              <w:t>的被担保对象提供的债务担保余额（</w:t>
            </w:r>
            <w:r>
              <w:rPr>
                <w:rFonts w:cs="Times New Roman"/>
              </w:rPr>
              <w:t>E</w:t>
            </w:r>
            <w:r>
              <w:rPr>
                <w:rFonts w:hint="eastAsia"/>
              </w:rPr>
              <w:t>）</w:t>
            </w:r>
          </w:p>
        </w:tc>
        <w:tc>
          <w:tcPr>
            <w:tcW w:w="4879" w:type="dxa"/>
            <w:gridSpan w:val="9"/>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w:t>
            </w:r>
          </w:p>
        </w:tc>
      </w:tr>
      <w:tr w:rsidR="00A9288A">
        <w:tc>
          <w:tcPr>
            <w:tcW w:w="4692" w:type="dxa"/>
            <w:gridSpan w:val="9"/>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担保总额超过净资产</w:t>
            </w:r>
            <w:r>
              <w:rPr>
                <w:rFonts w:cs="Times New Roman"/>
              </w:rPr>
              <w:t>50%</w:t>
            </w:r>
            <w:r>
              <w:rPr>
                <w:rFonts w:hint="eastAsia"/>
              </w:rPr>
              <w:t>部分的金额（</w:t>
            </w:r>
            <w:r>
              <w:rPr>
                <w:rFonts w:cs="Times New Roman"/>
              </w:rPr>
              <w:t>F</w:t>
            </w:r>
            <w:r>
              <w:rPr>
                <w:rFonts w:hint="eastAsia"/>
              </w:rPr>
              <w:t>）</w:t>
            </w:r>
          </w:p>
        </w:tc>
        <w:tc>
          <w:tcPr>
            <w:tcW w:w="4879" w:type="dxa"/>
            <w:gridSpan w:val="9"/>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r>
      <w:tr w:rsidR="00A9288A">
        <w:tc>
          <w:tcPr>
            <w:tcW w:w="4692" w:type="dxa"/>
            <w:gridSpan w:val="9"/>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上述三项担保金额合计（</w:t>
            </w:r>
            <w:r>
              <w:rPr>
                <w:rFonts w:cs="Times New Roman"/>
              </w:rPr>
              <w:t>D+E+F</w:t>
            </w:r>
            <w:r>
              <w:rPr>
                <w:rFonts w:hint="eastAsia"/>
              </w:rPr>
              <w:t>）</w:t>
            </w:r>
          </w:p>
        </w:tc>
        <w:tc>
          <w:tcPr>
            <w:tcW w:w="4879" w:type="dxa"/>
            <w:gridSpan w:val="9"/>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w:t>
            </w:r>
          </w:p>
        </w:tc>
      </w:tr>
      <w:tr w:rsidR="00A9288A">
        <w:tc>
          <w:tcPr>
            <w:tcW w:w="4692" w:type="dxa"/>
            <w:gridSpan w:val="9"/>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未到期担保可能承担连带清偿责任说明（如有）</w:t>
            </w:r>
          </w:p>
        </w:tc>
        <w:tc>
          <w:tcPr>
            <w:tcW w:w="4879" w:type="dxa"/>
            <w:gridSpan w:val="9"/>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无</w:t>
            </w:r>
          </w:p>
        </w:tc>
      </w:tr>
      <w:tr w:rsidR="00A9288A">
        <w:tc>
          <w:tcPr>
            <w:tcW w:w="4692" w:type="dxa"/>
            <w:gridSpan w:val="9"/>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违反规定程序对外提供担保的说明（如有）</w:t>
            </w:r>
          </w:p>
        </w:tc>
        <w:tc>
          <w:tcPr>
            <w:tcW w:w="4879" w:type="dxa"/>
            <w:gridSpan w:val="9"/>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无</w:t>
            </w:r>
          </w:p>
        </w:tc>
      </w:tr>
    </w:tbl>
    <w:p w:rsidR="00A9288A" w:rsidRDefault="007A4434">
      <w:pPr>
        <w:jc w:val="left"/>
        <w:rPr>
          <w:rFonts w:eastAsia="Times New Roman" w:cs="Times New Roman"/>
        </w:rPr>
      </w:pPr>
      <w:r>
        <w:rPr>
          <w:rFonts w:hint="eastAsia"/>
        </w:rPr>
        <w:t>采用复合方式担保的具体情况说明</w:t>
      </w: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）违规对外担保情况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公司报告期无违规对外担保情况。</w:t>
      </w:r>
    </w:p>
    <w:p w:rsidR="00A9288A" w:rsidRDefault="007A4434">
      <w:pPr>
        <w:pStyle w:val="Section"/>
        <w:outlineLvl w:val="2"/>
        <w:rPr>
          <w:rFonts w:eastAsia="Times New Roman" w:cs="Times New Roman"/>
        </w:rPr>
      </w:pPr>
      <w:r>
        <w:rPr>
          <w:rFonts w:cs="Times New Roman"/>
        </w:rPr>
        <w:t>3</w:t>
      </w:r>
      <w:r>
        <w:rPr>
          <w:rFonts w:hint="eastAsia"/>
        </w:rPr>
        <w:t>、其他重大合同</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公司报告期不存在其他重大合同。</w:t>
      </w:r>
    </w:p>
    <w:p w:rsidR="00A9288A" w:rsidRDefault="007A4434">
      <w:pPr>
        <w:pStyle w:val="Chapter"/>
        <w:outlineLvl w:val="1"/>
        <w:rPr>
          <w:rFonts w:eastAsia="Times New Roman" w:cs="Times New Roman"/>
        </w:rPr>
      </w:pPr>
      <w:r>
        <w:rPr>
          <w:rFonts w:hint="eastAsia"/>
        </w:rPr>
        <w:t>十五、社会责任情况</w:t>
      </w:r>
    </w:p>
    <w:p w:rsidR="00A9288A" w:rsidRDefault="007A4434">
      <w:pPr>
        <w:pStyle w:val="Section"/>
        <w:outlineLvl w:val="2"/>
        <w:rPr>
          <w:rFonts w:eastAsia="Times New Roman" w:cs="Times New Roman"/>
        </w:rPr>
      </w:pPr>
      <w:r>
        <w:rPr>
          <w:rFonts w:cs="Times New Roman"/>
        </w:rPr>
        <w:t>1</w:t>
      </w:r>
      <w:r>
        <w:rPr>
          <w:rFonts w:hint="eastAsia"/>
        </w:rPr>
        <w:t>、重大环保情况</w:t>
      </w:r>
    </w:p>
    <w:p w:rsidR="00A9288A" w:rsidRDefault="007A4434">
      <w:pPr>
        <w:jc w:val="left"/>
        <w:rPr>
          <w:rFonts w:eastAsia="Times New Roman" w:cs="Times New Roman"/>
        </w:rPr>
      </w:pPr>
      <w:r>
        <w:rPr>
          <w:rFonts w:hint="eastAsia"/>
        </w:rPr>
        <w:t>上市公司及其子公司是否属于环境保护部门公布的重点排污单位</w:t>
      </w:r>
    </w:p>
    <w:p w:rsidR="00A9288A" w:rsidRDefault="007A4434">
      <w:pPr>
        <w:jc w:val="left"/>
        <w:rPr>
          <w:rFonts w:eastAsia="Times New Roman" w:cs="Times New Roman"/>
        </w:rPr>
      </w:pPr>
      <w:r>
        <w:rPr>
          <w:rFonts w:hint="eastAsia"/>
        </w:rPr>
        <w:t>否</w:t>
      </w:r>
    </w:p>
    <w:p w:rsidR="00A9288A" w:rsidRDefault="007A4434">
      <w:pPr>
        <w:pStyle w:val="Section"/>
        <w:outlineLvl w:val="2"/>
        <w:rPr>
          <w:rFonts w:eastAsia="Times New Roman" w:cs="Times New Roman"/>
        </w:rPr>
      </w:pPr>
      <w:r>
        <w:rPr>
          <w:rFonts w:cs="Times New Roman"/>
        </w:rPr>
        <w:t>2</w:t>
      </w:r>
      <w:r>
        <w:rPr>
          <w:rFonts w:hint="eastAsia"/>
        </w:rPr>
        <w:t>、履行精准扶贫社会责任情况</w:t>
      </w:r>
    </w:p>
    <w:p w:rsidR="00A9288A" w:rsidRDefault="007A4434">
      <w:pPr>
        <w:jc w:val="left"/>
        <w:rPr>
          <w:rFonts w:eastAsia="Times New Roman" w:cs="Times New Roman"/>
          <w:sz w:val="21"/>
          <w:szCs w:val="21"/>
        </w:rPr>
      </w:pPr>
      <w:r>
        <w:rPr>
          <w:rFonts w:hint="eastAsia"/>
          <w:sz w:val="21"/>
          <w:szCs w:val="21"/>
        </w:rPr>
        <w:t>公司报告半年度暂未开展精准扶贫工作，也暂无后续精准扶贫计划。</w:t>
      </w:r>
    </w:p>
    <w:p w:rsidR="00A9288A" w:rsidRDefault="007A4434">
      <w:pPr>
        <w:pStyle w:val="Chapter"/>
        <w:outlineLvl w:val="1"/>
        <w:rPr>
          <w:rFonts w:eastAsia="Times New Roman" w:cs="Times New Roman"/>
        </w:rPr>
      </w:pPr>
      <w:r>
        <w:rPr>
          <w:rFonts w:hint="eastAsia"/>
        </w:rPr>
        <w:t>十六、其他重大事项的说明</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autoSpaceDE w:val="0"/>
        <w:autoSpaceDN w:val="0"/>
        <w:adjustRightInd w:val="0"/>
        <w:ind w:firstLine="482"/>
        <w:rPr>
          <w:rFonts w:eastAsia="Times New Roman" w:cs="Times New Roman"/>
          <w:b/>
          <w:bCs/>
          <w:kern w:val="0"/>
          <w:sz w:val="21"/>
          <w:szCs w:val="21"/>
          <w:lang w:val="zh-CN"/>
        </w:rPr>
      </w:pPr>
      <w:r>
        <w:rPr>
          <w:rFonts w:eastAsia="Times New Roman" w:cs="Times New Roman"/>
          <w:b/>
          <w:bCs/>
          <w:kern w:val="0"/>
          <w:sz w:val="21"/>
          <w:szCs w:val="21"/>
          <w:lang w:val="zh-CN"/>
        </w:rPr>
        <w:lastRenderedPageBreak/>
        <w:t>1</w:t>
      </w:r>
      <w:r>
        <w:rPr>
          <w:rFonts w:ascii="宋体" w:hAnsi="宋体" w:hint="eastAsia"/>
          <w:b/>
          <w:bCs/>
          <w:kern w:val="0"/>
          <w:sz w:val="21"/>
          <w:szCs w:val="21"/>
          <w:lang w:val="zh-CN"/>
        </w:rPr>
        <w:t>、公司重大资产重组事项</w:t>
      </w:r>
    </w:p>
    <w:p w:rsidR="00A9288A" w:rsidRDefault="007A4434">
      <w:pPr>
        <w:autoSpaceDE w:val="0"/>
        <w:autoSpaceDN w:val="0"/>
        <w:adjustRightInd w:val="0"/>
        <w:ind w:firstLine="480"/>
        <w:rPr>
          <w:rFonts w:eastAsia="Times New Roman" w:cs="Times New Roman"/>
          <w:kern w:val="0"/>
          <w:sz w:val="21"/>
          <w:szCs w:val="21"/>
          <w:lang w:val="zh-CN"/>
        </w:rPr>
      </w:pPr>
      <w:r>
        <w:rPr>
          <w:rFonts w:ascii="宋体" w:hAnsi="宋体" w:hint="eastAsia"/>
          <w:kern w:val="0"/>
          <w:sz w:val="21"/>
          <w:szCs w:val="21"/>
          <w:lang w:val="zh-CN"/>
        </w:rPr>
        <w:t>公司于</w:t>
      </w:r>
      <w:r>
        <w:rPr>
          <w:rFonts w:eastAsia="Times New Roman" w:cs="Times New Roman"/>
          <w:kern w:val="0"/>
          <w:sz w:val="21"/>
          <w:szCs w:val="21"/>
          <w:lang w:val="zh-CN"/>
        </w:rPr>
        <w:t>2018</w:t>
      </w:r>
      <w:r>
        <w:rPr>
          <w:rFonts w:ascii="宋体" w:hAnsi="宋体" w:hint="eastAsia"/>
          <w:kern w:val="0"/>
          <w:sz w:val="21"/>
          <w:szCs w:val="21"/>
          <w:lang w:val="zh-CN"/>
        </w:rPr>
        <w:t>年</w:t>
      </w:r>
      <w:r>
        <w:rPr>
          <w:rFonts w:eastAsia="Times New Roman" w:cs="Times New Roman"/>
          <w:kern w:val="0"/>
          <w:sz w:val="21"/>
          <w:szCs w:val="21"/>
          <w:lang w:val="zh-CN"/>
        </w:rPr>
        <w:t>5</w:t>
      </w:r>
      <w:r>
        <w:rPr>
          <w:rFonts w:ascii="宋体" w:hAnsi="宋体" w:hint="eastAsia"/>
          <w:kern w:val="0"/>
          <w:sz w:val="21"/>
          <w:szCs w:val="21"/>
          <w:lang w:val="zh-CN"/>
        </w:rPr>
        <w:t>月</w:t>
      </w:r>
      <w:r>
        <w:rPr>
          <w:rFonts w:eastAsia="Times New Roman" w:cs="Times New Roman"/>
          <w:kern w:val="0"/>
          <w:sz w:val="21"/>
          <w:szCs w:val="21"/>
          <w:lang w:val="zh-CN"/>
        </w:rPr>
        <w:t>7</w:t>
      </w:r>
      <w:r>
        <w:rPr>
          <w:rFonts w:ascii="宋体" w:hAnsi="宋体" w:hint="eastAsia"/>
          <w:kern w:val="0"/>
          <w:sz w:val="21"/>
          <w:szCs w:val="21"/>
          <w:lang w:val="zh-CN"/>
        </w:rPr>
        <w:t>日召开了第四届董事会第十一次会议决议，审议通过了《关于向中国证监会申请中止发行股份购买资产事项审查的议案》，根据《公开发行证券的公司信息披露内容与格式准则第</w:t>
      </w:r>
      <w:r>
        <w:rPr>
          <w:rFonts w:eastAsia="Times New Roman" w:cs="Times New Roman"/>
          <w:kern w:val="0"/>
          <w:sz w:val="21"/>
          <w:szCs w:val="21"/>
          <w:lang w:val="zh-CN"/>
        </w:rPr>
        <w:t>26</w:t>
      </w:r>
      <w:r>
        <w:rPr>
          <w:rFonts w:ascii="宋体" w:hAnsi="宋体" w:hint="eastAsia"/>
          <w:kern w:val="0"/>
          <w:sz w:val="21"/>
          <w:szCs w:val="21"/>
          <w:lang w:val="zh-CN"/>
        </w:rPr>
        <w:t>号</w:t>
      </w:r>
      <w:r>
        <w:rPr>
          <w:rFonts w:eastAsia="Times New Roman" w:cs="Times New Roman"/>
          <w:kern w:val="0"/>
          <w:sz w:val="21"/>
          <w:szCs w:val="21"/>
          <w:lang w:val="zh-CN"/>
        </w:rPr>
        <w:t>——</w:t>
      </w:r>
      <w:r>
        <w:rPr>
          <w:rFonts w:ascii="宋体" w:hAnsi="宋体" w:hint="eastAsia"/>
          <w:kern w:val="0"/>
          <w:sz w:val="21"/>
          <w:szCs w:val="21"/>
          <w:lang w:val="zh-CN"/>
        </w:rPr>
        <w:t>上市公司重大资产重组》规定，公司原申请材料中的财务数据需要更新，故申请中止本次发行股份购买资产事项的审查。截止目前，公司已经完成财务数据更新，将尽快申请恢复审查。</w:t>
      </w:r>
    </w:p>
    <w:p w:rsidR="00A9288A" w:rsidRDefault="007A4434">
      <w:pPr>
        <w:autoSpaceDE w:val="0"/>
        <w:autoSpaceDN w:val="0"/>
        <w:adjustRightInd w:val="0"/>
        <w:ind w:firstLine="482"/>
        <w:rPr>
          <w:rFonts w:eastAsia="Times New Roman" w:cs="Times New Roman"/>
          <w:b/>
          <w:bCs/>
          <w:kern w:val="0"/>
          <w:sz w:val="21"/>
          <w:szCs w:val="21"/>
          <w:lang w:val="zh-CN"/>
        </w:rPr>
      </w:pPr>
      <w:r>
        <w:rPr>
          <w:rFonts w:eastAsia="Times New Roman" w:cs="Times New Roman"/>
          <w:b/>
          <w:bCs/>
          <w:kern w:val="0"/>
          <w:sz w:val="21"/>
          <w:szCs w:val="21"/>
          <w:lang w:val="zh-CN"/>
        </w:rPr>
        <w:t>2</w:t>
      </w:r>
      <w:r>
        <w:rPr>
          <w:rFonts w:ascii="宋体" w:hAnsi="宋体" w:hint="eastAsia"/>
          <w:b/>
          <w:bCs/>
          <w:kern w:val="0"/>
          <w:sz w:val="21"/>
          <w:szCs w:val="21"/>
          <w:lang w:val="zh-CN"/>
        </w:rPr>
        <w:t>、股份回购注销情况</w:t>
      </w:r>
    </w:p>
    <w:p w:rsidR="00A9288A" w:rsidRDefault="007A4434">
      <w:pPr>
        <w:autoSpaceDE w:val="0"/>
        <w:autoSpaceDN w:val="0"/>
        <w:adjustRightInd w:val="0"/>
        <w:ind w:firstLine="480"/>
        <w:rPr>
          <w:rFonts w:eastAsia="Times New Roman" w:cs="Times New Roman"/>
          <w:kern w:val="0"/>
          <w:sz w:val="21"/>
          <w:szCs w:val="21"/>
          <w:lang w:val="zh-CN"/>
        </w:rPr>
      </w:pPr>
      <w:r>
        <w:rPr>
          <w:rFonts w:ascii="宋体" w:hAnsi="宋体" w:hint="eastAsia"/>
          <w:kern w:val="0"/>
          <w:sz w:val="21"/>
          <w:szCs w:val="21"/>
          <w:lang w:val="zh-CN"/>
        </w:rPr>
        <w:t>公司于</w:t>
      </w:r>
      <w:r>
        <w:rPr>
          <w:rFonts w:eastAsia="Times New Roman" w:cs="Times New Roman"/>
          <w:kern w:val="0"/>
          <w:sz w:val="21"/>
          <w:szCs w:val="21"/>
          <w:lang w:val="zh-CN"/>
        </w:rPr>
        <w:t>2018</w:t>
      </w:r>
      <w:r>
        <w:rPr>
          <w:rFonts w:ascii="宋体" w:hAnsi="宋体" w:hint="eastAsia"/>
          <w:kern w:val="0"/>
          <w:sz w:val="21"/>
          <w:szCs w:val="21"/>
          <w:lang w:val="zh-CN"/>
        </w:rPr>
        <w:t>年</w:t>
      </w:r>
      <w:r>
        <w:rPr>
          <w:rFonts w:eastAsia="Times New Roman" w:cs="Times New Roman"/>
          <w:kern w:val="0"/>
          <w:sz w:val="21"/>
          <w:szCs w:val="21"/>
          <w:lang w:val="zh-CN"/>
        </w:rPr>
        <w:t>2</w:t>
      </w:r>
      <w:r>
        <w:rPr>
          <w:rFonts w:ascii="宋体" w:hAnsi="宋体" w:hint="eastAsia"/>
          <w:kern w:val="0"/>
          <w:sz w:val="21"/>
          <w:szCs w:val="21"/>
          <w:lang w:val="zh-CN"/>
        </w:rPr>
        <w:t>月</w:t>
      </w:r>
      <w:r>
        <w:rPr>
          <w:rFonts w:eastAsia="Times New Roman" w:cs="Times New Roman"/>
          <w:kern w:val="0"/>
          <w:sz w:val="21"/>
          <w:szCs w:val="21"/>
          <w:lang w:val="zh-CN"/>
        </w:rPr>
        <w:t>22</w:t>
      </w:r>
      <w:r>
        <w:rPr>
          <w:rFonts w:ascii="宋体" w:hAnsi="宋体" w:hint="eastAsia"/>
          <w:kern w:val="0"/>
          <w:sz w:val="21"/>
          <w:szCs w:val="21"/>
          <w:lang w:val="zh-CN"/>
        </w:rPr>
        <w:t>日召开</w:t>
      </w:r>
      <w:r>
        <w:rPr>
          <w:rFonts w:eastAsia="Times New Roman" w:cs="Times New Roman"/>
          <w:kern w:val="0"/>
          <w:sz w:val="21"/>
          <w:szCs w:val="21"/>
          <w:lang w:val="zh-CN"/>
        </w:rPr>
        <w:t>2018</w:t>
      </w:r>
      <w:r>
        <w:rPr>
          <w:rFonts w:ascii="宋体" w:hAnsi="宋体" w:hint="eastAsia"/>
          <w:kern w:val="0"/>
          <w:sz w:val="21"/>
          <w:szCs w:val="21"/>
          <w:lang w:val="zh-CN"/>
        </w:rPr>
        <w:t>年第一次临时股东大会，逐项审议通过了《关于回购并注销公司股份预案的议案》和《关于回购公司股份以激励员工预案的议案》，并于</w:t>
      </w:r>
      <w:r>
        <w:rPr>
          <w:rFonts w:eastAsia="Times New Roman" w:cs="Times New Roman"/>
          <w:kern w:val="0"/>
          <w:sz w:val="21"/>
          <w:szCs w:val="21"/>
          <w:lang w:val="zh-CN"/>
        </w:rPr>
        <w:t>2018</w:t>
      </w:r>
      <w:r>
        <w:rPr>
          <w:rFonts w:ascii="宋体" w:hAnsi="宋体" w:hint="eastAsia"/>
          <w:kern w:val="0"/>
          <w:sz w:val="21"/>
          <w:szCs w:val="21"/>
          <w:lang w:val="zh-CN"/>
        </w:rPr>
        <w:t>年</w:t>
      </w:r>
      <w:r>
        <w:rPr>
          <w:rFonts w:eastAsia="Times New Roman" w:cs="Times New Roman"/>
          <w:kern w:val="0"/>
          <w:sz w:val="21"/>
          <w:szCs w:val="21"/>
          <w:lang w:val="zh-CN"/>
        </w:rPr>
        <w:t>3</w:t>
      </w:r>
      <w:r>
        <w:rPr>
          <w:rFonts w:ascii="宋体" w:hAnsi="宋体" w:hint="eastAsia"/>
          <w:kern w:val="0"/>
          <w:sz w:val="21"/>
          <w:szCs w:val="21"/>
          <w:lang w:val="zh-CN"/>
        </w:rPr>
        <w:t>月</w:t>
      </w:r>
      <w:r>
        <w:rPr>
          <w:rFonts w:eastAsia="Times New Roman" w:cs="Times New Roman"/>
          <w:kern w:val="0"/>
          <w:sz w:val="21"/>
          <w:szCs w:val="21"/>
          <w:lang w:val="zh-CN"/>
        </w:rPr>
        <w:t>6</w:t>
      </w:r>
      <w:r>
        <w:rPr>
          <w:rFonts w:ascii="宋体" w:hAnsi="宋体" w:hint="eastAsia"/>
          <w:kern w:val="0"/>
          <w:sz w:val="21"/>
          <w:szCs w:val="21"/>
          <w:lang w:val="zh-CN"/>
        </w:rPr>
        <w:t>日披露了《关于回购并注销公司股份的报告书》和《关于回购公司股份以激励员工的报告书》。</w:t>
      </w:r>
    </w:p>
    <w:p w:rsidR="00A9288A" w:rsidRDefault="007A4434">
      <w:pPr>
        <w:autoSpaceDE w:val="0"/>
        <w:autoSpaceDN w:val="0"/>
        <w:adjustRightInd w:val="0"/>
        <w:ind w:firstLine="480"/>
        <w:rPr>
          <w:rFonts w:eastAsia="Times New Roman" w:cs="Times New Roman"/>
          <w:kern w:val="0"/>
          <w:sz w:val="21"/>
          <w:szCs w:val="21"/>
          <w:lang w:val="zh-CN"/>
        </w:rPr>
      </w:pPr>
      <w:r>
        <w:rPr>
          <w:rFonts w:ascii="宋体" w:hAnsi="宋体" w:hint="eastAsia"/>
          <w:kern w:val="0"/>
          <w:sz w:val="21"/>
          <w:szCs w:val="21"/>
          <w:lang w:val="zh-CN"/>
        </w:rPr>
        <w:t>截至公告日，公司累计通过股票回购专用证券账户以集中竞价交易方式回购公司股份</w:t>
      </w:r>
      <w:r>
        <w:rPr>
          <w:rFonts w:eastAsia="Times New Roman" w:cs="Times New Roman"/>
          <w:kern w:val="0"/>
          <w:sz w:val="21"/>
          <w:szCs w:val="21"/>
          <w:lang w:val="zh-CN"/>
        </w:rPr>
        <w:t>5,452,919</w:t>
      </w:r>
      <w:r>
        <w:rPr>
          <w:rFonts w:ascii="宋体" w:hAnsi="宋体" w:hint="eastAsia"/>
          <w:kern w:val="0"/>
          <w:sz w:val="21"/>
          <w:szCs w:val="21"/>
          <w:lang w:val="zh-CN"/>
        </w:rPr>
        <w:t>股，总金额为人民币</w:t>
      </w:r>
      <w:r>
        <w:rPr>
          <w:rFonts w:eastAsia="Times New Roman" w:cs="Times New Roman"/>
          <w:kern w:val="0"/>
          <w:sz w:val="21"/>
          <w:szCs w:val="21"/>
          <w:lang w:val="zh-CN"/>
        </w:rPr>
        <w:t>77,385,176.48</w:t>
      </w:r>
      <w:r>
        <w:rPr>
          <w:rFonts w:ascii="宋体" w:hAnsi="宋体" w:hint="eastAsia"/>
          <w:kern w:val="0"/>
          <w:sz w:val="21"/>
          <w:szCs w:val="21"/>
          <w:lang w:val="zh-CN"/>
        </w:rPr>
        <w:t>元（不含手续费），累计回购股份占公司总股本的比例为</w:t>
      </w:r>
      <w:r>
        <w:rPr>
          <w:rFonts w:eastAsia="Times New Roman" w:cs="Times New Roman"/>
          <w:kern w:val="0"/>
          <w:sz w:val="21"/>
          <w:szCs w:val="21"/>
          <w:lang w:val="zh-CN"/>
        </w:rPr>
        <w:t>1.50%</w:t>
      </w:r>
      <w:r>
        <w:rPr>
          <w:rFonts w:ascii="宋体" w:hAnsi="宋体" w:hint="eastAsia"/>
          <w:kern w:val="0"/>
          <w:sz w:val="21"/>
          <w:szCs w:val="21"/>
          <w:lang w:val="zh-CN"/>
        </w:rPr>
        <w:t>，最高成交价为</w:t>
      </w:r>
      <w:r>
        <w:rPr>
          <w:rFonts w:eastAsia="Times New Roman" w:cs="Times New Roman"/>
          <w:kern w:val="0"/>
          <w:sz w:val="21"/>
          <w:szCs w:val="21"/>
          <w:lang w:val="zh-CN"/>
        </w:rPr>
        <w:t>15.00</w:t>
      </w:r>
      <w:r>
        <w:rPr>
          <w:rFonts w:ascii="宋体" w:hAnsi="宋体" w:hint="eastAsia"/>
          <w:kern w:val="0"/>
          <w:sz w:val="21"/>
          <w:szCs w:val="21"/>
          <w:lang w:val="zh-CN"/>
        </w:rPr>
        <w:t>元</w:t>
      </w:r>
      <w:r>
        <w:rPr>
          <w:rFonts w:eastAsia="Times New Roman" w:cs="Times New Roman"/>
          <w:kern w:val="0"/>
          <w:sz w:val="21"/>
          <w:szCs w:val="21"/>
          <w:lang w:val="zh-CN"/>
        </w:rPr>
        <w:t>/</w:t>
      </w:r>
      <w:r>
        <w:rPr>
          <w:rFonts w:ascii="宋体" w:hAnsi="宋体" w:hint="eastAsia"/>
          <w:kern w:val="0"/>
          <w:sz w:val="21"/>
          <w:szCs w:val="21"/>
          <w:lang w:val="zh-CN"/>
        </w:rPr>
        <w:t>股，最低成交价为</w:t>
      </w:r>
      <w:r>
        <w:rPr>
          <w:rFonts w:eastAsia="Times New Roman" w:cs="Times New Roman"/>
          <w:kern w:val="0"/>
          <w:sz w:val="21"/>
          <w:szCs w:val="21"/>
          <w:lang w:val="zh-CN"/>
        </w:rPr>
        <w:t>13.06</w:t>
      </w:r>
      <w:r>
        <w:rPr>
          <w:rFonts w:ascii="宋体" w:hAnsi="宋体" w:hint="eastAsia"/>
          <w:kern w:val="0"/>
          <w:sz w:val="21"/>
          <w:szCs w:val="21"/>
          <w:lang w:val="zh-CN"/>
        </w:rPr>
        <w:t>元</w:t>
      </w:r>
      <w:r>
        <w:rPr>
          <w:rFonts w:eastAsia="Times New Roman" w:cs="Times New Roman"/>
          <w:kern w:val="0"/>
          <w:sz w:val="21"/>
          <w:szCs w:val="21"/>
          <w:lang w:val="zh-CN"/>
        </w:rPr>
        <w:t>/</w:t>
      </w:r>
      <w:r>
        <w:rPr>
          <w:rFonts w:ascii="宋体" w:hAnsi="宋体" w:hint="eastAsia"/>
          <w:kern w:val="0"/>
          <w:sz w:val="21"/>
          <w:szCs w:val="21"/>
          <w:lang w:val="zh-CN"/>
        </w:rPr>
        <w:t>股，成交均价为</w:t>
      </w:r>
      <w:r>
        <w:rPr>
          <w:rFonts w:eastAsia="Times New Roman" w:cs="Times New Roman"/>
          <w:kern w:val="0"/>
          <w:sz w:val="21"/>
          <w:szCs w:val="21"/>
          <w:lang w:val="zh-CN"/>
        </w:rPr>
        <w:t>14.191514</w:t>
      </w:r>
      <w:r>
        <w:rPr>
          <w:rFonts w:ascii="宋体" w:hAnsi="宋体" w:hint="eastAsia"/>
          <w:kern w:val="0"/>
          <w:sz w:val="21"/>
          <w:szCs w:val="21"/>
          <w:lang w:val="zh-CN"/>
        </w:rPr>
        <w:t>元</w:t>
      </w:r>
      <w:r>
        <w:rPr>
          <w:rFonts w:eastAsia="Times New Roman" w:cs="Times New Roman"/>
          <w:kern w:val="0"/>
          <w:sz w:val="21"/>
          <w:szCs w:val="21"/>
          <w:lang w:val="zh-CN"/>
        </w:rPr>
        <w:t>/</w:t>
      </w:r>
      <w:r>
        <w:rPr>
          <w:rFonts w:ascii="宋体" w:hAnsi="宋体" w:hint="eastAsia"/>
          <w:kern w:val="0"/>
          <w:sz w:val="21"/>
          <w:szCs w:val="21"/>
          <w:lang w:val="zh-CN"/>
        </w:rPr>
        <w:t>股。</w:t>
      </w:r>
    </w:p>
    <w:p w:rsidR="00A9288A" w:rsidRDefault="007A4434">
      <w:pPr>
        <w:autoSpaceDE w:val="0"/>
        <w:autoSpaceDN w:val="0"/>
        <w:adjustRightInd w:val="0"/>
        <w:ind w:firstLine="480"/>
        <w:rPr>
          <w:rFonts w:eastAsia="Times New Roman" w:cs="Times New Roman"/>
          <w:kern w:val="0"/>
          <w:sz w:val="21"/>
          <w:szCs w:val="21"/>
          <w:lang w:val="zh-CN"/>
        </w:rPr>
      </w:pPr>
      <w:r>
        <w:rPr>
          <w:rFonts w:ascii="宋体" w:hAnsi="宋体" w:hint="eastAsia"/>
          <w:kern w:val="0"/>
          <w:sz w:val="21"/>
          <w:szCs w:val="21"/>
          <w:lang w:val="zh-CN"/>
        </w:rPr>
        <w:t>按照公司回购方案，注销部分的金额为</w:t>
      </w:r>
      <w:r>
        <w:rPr>
          <w:rFonts w:eastAsia="Times New Roman" w:cs="Times New Roman"/>
          <w:kern w:val="0"/>
          <w:sz w:val="21"/>
          <w:szCs w:val="21"/>
          <w:lang w:val="zh-CN"/>
        </w:rPr>
        <w:t>5000</w:t>
      </w:r>
      <w:r>
        <w:rPr>
          <w:rFonts w:ascii="宋体" w:hAnsi="宋体" w:hint="eastAsia"/>
          <w:kern w:val="0"/>
          <w:sz w:val="21"/>
          <w:szCs w:val="21"/>
          <w:lang w:val="zh-CN"/>
        </w:rPr>
        <w:t>万元</w:t>
      </w:r>
      <w:r>
        <w:rPr>
          <w:rFonts w:eastAsia="Times New Roman" w:cs="Times New Roman"/>
          <w:kern w:val="0"/>
          <w:sz w:val="21"/>
          <w:szCs w:val="21"/>
          <w:lang w:val="zh-CN"/>
        </w:rPr>
        <w:t>-1</w:t>
      </w:r>
      <w:r>
        <w:rPr>
          <w:rFonts w:ascii="宋体" w:hAnsi="宋体" w:hint="eastAsia"/>
          <w:kern w:val="0"/>
          <w:sz w:val="21"/>
          <w:szCs w:val="21"/>
          <w:lang w:val="zh-CN"/>
        </w:rPr>
        <w:t>亿元。</w:t>
      </w:r>
      <w:r>
        <w:rPr>
          <w:rFonts w:eastAsia="Times New Roman" w:cs="Times New Roman"/>
          <w:kern w:val="0"/>
          <w:sz w:val="21"/>
          <w:szCs w:val="21"/>
          <w:lang w:val="zh-CN"/>
        </w:rPr>
        <w:t>2018</w:t>
      </w:r>
      <w:r>
        <w:rPr>
          <w:rFonts w:ascii="宋体" w:hAnsi="宋体" w:hint="eastAsia"/>
          <w:kern w:val="0"/>
          <w:sz w:val="21"/>
          <w:szCs w:val="21"/>
          <w:lang w:val="zh-CN"/>
        </w:rPr>
        <w:t>年</w:t>
      </w:r>
      <w:r>
        <w:rPr>
          <w:rFonts w:eastAsia="Times New Roman" w:cs="Times New Roman"/>
          <w:kern w:val="0"/>
          <w:sz w:val="21"/>
          <w:szCs w:val="21"/>
          <w:lang w:val="zh-CN"/>
        </w:rPr>
        <w:t>7</w:t>
      </w:r>
      <w:r>
        <w:rPr>
          <w:rFonts w:ascii="宋体" w:hAnsi="宋体" w:hint="eastAsia"/>
          <w:kern w:val="0"/>
          <w:sz w:val="21"/>
          <w:szCs w:val="21"/>
          <w:lang w:val="zh-CN"/>
        </w:rPr>
        <w:t>月</w:t>
      </w:r>
      <w:r>
        <w:rPr>
          <w:rFonts w:eastAsia="Times New Roman" w:cs="Times New Roman"/>
          <w:kern w:val="0"/>
          <w:sz w:val="21"/>
          <w:szCs w:val="21"/>
          <w:lang w:val="zh-CN"/>
        </w:rPr>
        <w:t>27</w:t>
      </w:r>
      <w:r>
        <w:rPr>
          <w:rFonts w:ascii="宋体" w:hAnsi="宋体" w:hint="eastAsia"/>
          <w:kern w:val="0"/>
          <w:sz w:val="21"/>
          <w:szCs w:val="21"/>
          <w:lang w:val="zh-CN"/>
        </w:rPr>
        <w:t>日，公司召开第四届董事会第十三次会议，审议通过了《关于注销回购专户部分股票的议案》，本公司计划注销回购专户其中</w:t>
      </w:r>
      <w:r>
        <w:rPr>
          <w:rFonts w:eastAsia="Times New Roman" w:cs="Times New Roman"/>
          <w:kern w:val="0"/>
          <w:sz w:val="21"/>
          <w:szCs w:val="21"/>
          <w:lang w:val="zh-CN"/>
        </w:rPr>
        <w:t>3,523,233</w:t>
      </w:r>
      <w:r>
        <w:rPr>
          <w:rFonts w:ascii="宋体" w:hAnsi="宋体" w:hint="eastAsia"/>
          <w:kern w:val="0"/>
          <w:sz w:val="21"/>
          <w:szCs w:val="21"/>
          <w:lang w:val="zh-CN"/>
        </w:rPr>
        <w:t>股股票，均价为</w:t>
      </w:r>
      <w:r>
        <w:rPr>
          <w:rFonts w:eastAsia="Times New Roman" w:cs="Times New Roman"/>
          <w:kern w:val="0"/>
          <w:sz w:val="21"/>
          <w:szCs w:val="21"/>
          <w:lang w:val="zh-CN"/>
        </w:rPr>
        <w:t>14.191514</w:t>
      </w:r>
      <w:r>
        <w:rPr>
          <w:rFonts w:ascii="宋体" w:hAnsi="宋体" w:hint="eastAsia"/>
          <w:kern w:val="0"/>
          <w:sz w:val="21"/>
          <w:szCs w:val="21"/>
          <w:lang w:val="zh-CN"/>
        </w:rPr>
        <w:t>元</w:t>
      </w:r>
      <w:r>
        <w:rPr>
          <w:rFonts w:eastAsia="Times New Roman" w:cs="Times New Roman"/>
          <w:kern w:val="0"/>
          <w:sz w:val="21"/>
          <w:szCs w:val="21"/>
          <w:lang w:val="zh-CN"/>
        </w:rPr>
        <w:t>/</w:t>
      </w:r>
      <w:r>
        <w:rPr>
          <w:rFonts w:ascii="宋体" w:hAnsi="宋体" w:hint="eastAsia"/>
          <w:kern w:val="0"/>
          <w:sz w:val="21"/>
          <w:szCs w:val="21"/>
          <w:lang w:val="zh-CN"/>
        </w:rPr>
        <w:t>股，对应金额为</w:t>
      </w:r>
      <w:r>
        <w:rPr>
          <w:rFonts w:eastAsia="Times New Roman" w:cs="Times New Roman"/>
          <w:kern w:val="0"/>
          <w:sz w:val="21"/>
          <w:szCs w:val="21"/>
          <w:lang w:val="zh-CN"/>
        </w:rPr>
        <w:t>50,000,010.44</w:t>
      </w:r>
      <w:r>
        <w:rPr>
          <w:rFonts w:ascii="宋体" w:hAnsi="宋体" w:hint="eastAsia"/>
          <w:kern w:val="0"/>
          <w:sz w:val="21"/>
          <w:szCs w:val="21"/>
          <w:lang w:val="zh-CN"/>
        </w:rPr>
        <w:t>元。公司正在向中国证券登记结算有限责任公司深圳分公司申请办理上述</w:t>
      </w:r>
      <w:r>
        <w:rPr>
          <w:rFonts w:eastAsia="Times New Roman" w:cs="Times New Roman"/>
          <w:kern w:val="0"/>
          <w:sz w:val="21"/>
          <w:szCs w:val="21"/>
          <w:lang w:val="zh-CN"/>
        </w:rPr>
        <w:t>3,523,233</w:t>
      </w:r>
      <w:r>
        <w:rPr>
          <w:rFonts w:ascii="宋体" w:hAnsi="宋体" w:hint="eastAsia"/>
          <w:kern w:val="0"/>
          <w:sz w:val="21"/>
          <w:szCs w:val="21"/>
          <w:lang w:val="zh-CN"/>
        </w:rPr>
        <w:t>股回购股份注销手续，请关注公司后续公告。</w:t>
      </w:r>
    </w:p>
    <w:p w:rsidR="00A9288A" w:rsidRDefault="007A4434">
      <w:pPr>
        <w:pStyle w:val="Chapter"/>
        <w:outlineLvl w:val="1"/>
        <w:rPr>
          <w:rFonts w:eastAsia="Times New Roman" w:cs="Times New Roman"/>
        </w:rPr>
      </w:pPr>
      <w:r>
        <w:rPr>
          <w:rFonts w:hint="eastAsia"/>
        </w:rPr>
        <w:t>十七、公司子公司重大事项</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A9288A">
      <w:pPr>
        <w:jc w:val="left"/>
        <w:rPr>
          <w:rFonts w:cs="Times New Roman"/>
        </w:rPr>
        <w:sectPr w:rsidR="00A9288A">
          <w:pgSz w:w="11906" w:h="16838"/>
          <w:pgMar w:top="1440" w:right="1134" w:bottom="1440" w:left="1134" w:header="851" w:footer="992" w:gutter="0"/>
          <w:cols w:space="720"/>
          <w:docGrid w:type="lines" w:linePitch="312"/>
        </w:sectPr>
      </w:pPr>
    </w:p>
    <w:p w:rsidR="00A9288A" w:rsidRDefault="007A4434">
      <w:pPr>
        <w:pStyle w:val="a6"/>
        <w:outlineLvl w:val="0"/>
        <w:rPr>
          <w:rFonts w:eastAsia="Times New Roman" w:cs="Times New Roman"/>
        </w:rPr>
      </w:pPr>
      <w:bookmarkStart w:id="6" w:name="_Toc521663257"/>
      <w:r>
        <w:rPr>
          <w:rFonts w:hint="eastAsia"/>
        </w:rPr>
        <w:lastRenderedPageBreak/>
        <w:t>第六节</w:t>
      </w:r>
      <w:r>
        <w:rPr>
          <w:rFonts w:cs="Times New Roman"/>
        </w:rPr>
        <w:t xml:space="preserve"> </w:t>
      </w:r>
      <w:r>
        <w:rPr>
          <w:rFonts w:hint="eastAsia"/>
        </w:rPr>
        <w:t>股份变动及股东情况</w:t>
      </w:r>
      <w:bookmarkEnd w:id="6"/>
    </w:p>
    <w:p w:rsidR="00A9288A" w:rsidRDefault="007A4434">
      <w:pPr>
        <w:pStyle w:val="Chapter"/>
        <w:outlineLvl w:val="1"/>
        <w:rPr>
          <w:rFonts w:eastAsia="Times New Roman" w:cs="Times New Roman"/>
        </w:rPr>
      </w:pPr>
      <w:r>
        <w:rPr>
          <w:rFonts w:hint="eastAsia"/>
        </w:rPr>
        <w:t>一、股份变动情况</w:t>
      </w:r>
    </w:p>
    <w:p w:rsidR="00A9288A" w:rsidRDefault="007A4434">
      <w:pPr>
        <w:pStyle w:val="Section"/>
        <w:outlineLvl w:val="2"/>
        <w:rPr>
          <w:rFonts w:eastAsia="Times New Roman" w:cs="Times New Roman"/>
        </w:rPr>
      </w:pPr>
      <w:r>
        <w:rPr>
          <w:rFonts w:cs="Times New Roman"/>
        </w:rPr>
        <w:t>1</w:t>
      </w:r>
      <w:r>
        <w:rPr>
          <w:rFonts w:hint="eastAsia"/>
        </w:rPr>
        <w:t>、股份变动情况</w:t>
      </w:r>
    </w:p>
    <w:p w:rsidR="00A9288A" w:rsidRDefault="007A4434">
      <w:pPr>
        <w:jc w:val="right"/>
        <w:rPr>
          <w:rFonts w:eastAsia="Times New Roman" w:cs="Times New Roman"/>
        </w:rPr>
      </w:pPr>
      <w:r>
        <w:rPr>
          <w:rFonts w:hint="eastAsia"/>
        </w:rPr>
        <w:t>单位：股</w:t>
      </w:r>
    </w:p>
    <w:tbl>
      <w:tblPr>
        <w:tblW w:w="0" w:type="auto"/>
        <w:tblLayout w:type="fixed"/>
        <w:tblCellMar>
          <w:left w:w="28" w:type="dxa"/>
          <w:right w:w="28" w:type="dxa"/>
        </w:tblCellMar>
        <w:tblLook w:val="0000" w:firstRow="0" w:lastRow="0" w:firstColumn="0" w:lastColumn="0" w:noHBand="0" w:noVBand="0"/>
      </w:tblPr>
      <w:tblGrid>
        <w:gridCol w:w="2030"/>
        <w:gridCol w:w="956"/>
        <w:gridCol w:w="826"/>
        <w:gridCol w:w="826"/>
        <w:gridCol w:w="826"/>
        <w:gridCol w:w="826"/>
        <w:gridCol w:w="826"/>
        <w:gridCol w:w="826"/>
        <w:gridCol w:w="956"/>
        <w:gridCol w:w="796"/>
      </w:tblGrid>
      <w:tr w:rsidR="00A9288A">
        <w:tc>
          <w:tcPr>
            <w:tcW w:w="2030"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center"/>
              <w:rPr>
                <w:rFonts w:eastAsia="Times New Roman" w:cs="Times New Roman"/>
              </w:rPr>
            </w:pPr>
          </w:p>
        </w:tc>
        <w:tc>
          <w:tcPr>
            <w:tcW w:w="1782"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本次变动前</w:t>
            </w:r>
          </w:p>
        </w:tc>
        <w:tc>
          <w:tcPr>
            <w:tcW w:w="4130" w:type="dxa"/>
            <w:gridSpan w:val="5"/>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本次变动增减（＋，－）</w:t>
            </w:r>
          </w:p>
        </w:tc>
        <w:tc>
          <w:tcPr>
            <w:tcW w:w="1752"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本次变动后</w:t>
            </w:r>
          </w:p>
        </w:tc>
      </w:tr>
      <w:tr w:rsidR="00A9288A">
        <w:tc>
          <w:tcPr>
            <w:tcW w:w="2030"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95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数量</w:t>
            </w:r>
          </w:p>
        </w:tc>
        <w:tc>
          <w:tcPr>
            <w:tcW w:w="82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比例</w:t>
            </w:r>
          </w:p>
        </w:tc>
        <w:tc>
          <w:tcPr>
            <w:tcW w:w="82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发行新股</w:t>
            </w:r>
          </w:p>
        </w:tc>
        <w:tc>
          <w:tcPr>
            <w:tcW w:w="82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送股</w:t>
            </w:r>
          </w:p>
        </w:tc>
        <w:tc>
          <w:tcPr>
            <w:tcW w:w="82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公积金转股</w:t>
            </w:r>
          </w:p>
        </w:tc>
        <w:tc>
          <w:tcPr>
            <w:tcW w:w="82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其他</w:t>
            </w:r>
          </w:p>
        </w:tc>
        <w:tc>
          <w:tcPr>
            <w:tcW w:w="82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小计</w:t>
            </w:r>
          </w:p>
        </w:tc>
        <w:tc>
          <w:tcPr>
            <w:tcW w:w="95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数量</w:t>
            </w:r>
          </w:p>
        </w:tc>
        <w:tc>
          <w:tcPr>
            <w:tcW w:w="79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比例</w:t>
            </w:r>
          </w:p>
        </w:tc>
      </w:tr>
      <w:tr w:rsidR="00A9288A">
        <w:tc>
          <w:tcPr>
            <w:tcW w:w="203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一、有限售条件股份</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88,295,523</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24.37%</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88,295,523</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24.37%</w:t>
            </w:r>
          </w:p>
        </w:tc>
      </w:tr>
      <w:tr w:rsidR="00A9288A">
        <w:tc>
          <w:tcPr>
            <w:tcW w:w="203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、国家持股</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0.00%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0.00%</w:t>
            </w:r>
          </w:p>
        </w:tc>
      </w:tr>
      <w:tr w:rsidR="00A9288A">
        <w:tc>
          <w:tcPr>
            <w:tcW w:w="203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2</w:t>
            </w:r>
            <w:r>
              <w:rPr>
                <w:rFonts w:hint="eastAsia"/>
              </w:rPr>
              <w:t>、国有法人持股</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0.00%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0.00%</w:t>
            </w:r>
          </w:p>
        </w:tc>
      </w:tr>
      <w:tr w:rsidR="00A9288A">
        <w:tc>
          <w:tcPr>
            <w:tcW w:w="203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3</w:t>
            </w:r>
            <w:r>
              <w:rPr>
                <w:rFonts w:hint="eastAsia"/>
              </w:rPr>
              <w:t>、其他内资持股</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88,295,523</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24.36%</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88,295,523</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24.36%</w:t>
            </w:r>
          </w:p>
        </w:tc>
      </w:tr>
      <w:tr w:rsidR="00A9288A">
        <w:tc>
          <w:tcPr>
            <w:tcW w:w="203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其中：境内法人持股</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29,643,130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8.18%</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29,643,130</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8.18%</w:t>
            </w:r>
          </w:p>
        </w:tc>
      </w:tr>
      <w:tr w:rsidR="00A9288A">
        <w:tc>
          <w:tcPr>
            <w:tcW w:w="203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境内自然人持股</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58,652,393</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16.18%</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58,652,393</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16.18%</w:t>
            </w:r>
          </w:p>
        </w:tc>
      </w:tr>
      <w:tr w:rsidR="00A9288A">
        <w:tc>
          <w:tcPr>
            <w:tcW w:w="203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4</w:t>
            </w:r>
            <w:r>
              <w:rPr>
                <w:rFonts w:hint="eastAsia"/>
              </w:rPr>
              <w:t>、外资持股</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0.00%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0.00%</w:t>
            </w:r>
          </w:p>
        </w:tc>
      </w:tr>
      <w:tr w:rsidR="00A9288A">
        <w:tc>
          <w:tcPr>
            <w:tcW w:w="203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其中：境外法人持股</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0.00%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0.00%</w:t>
            </w:r>
          </w:p>
        </w:tc>
      </w:tr>
      <w:tr w:rsidR="00A9288A">
        <w:tc>
          <w:tcPr>
            <w:tcW w:w="203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境外自然人持股</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0.00%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0.00%</w:t>
            </w:r>
          </w:p>
        </w:tc>
      </w:tr>
      <w:tr w:rsidR="00A9288A">
        <w:tc>
          <w:tcPr>
            <w:tcW w:w="203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二、无限售条件股份</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274,045,449</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75.63%</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274,045,449</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75.63%</w:t>
            </w:r>
          </w:p>
        </w:tc>
      </w:tr>
      <w:tr w:rsidR="00A9288A">
        <w:tc>
          <w:tcPr>
            <w:tcW w:w="203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、人民币普通股</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274,045,449</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75.63%</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274,045,449</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75.63%</w:t>
            </w:r>
          </w:p>
        </w:tc>
      </w:tr>
      <w:tr w:rsidR="00A9288A">
        <w:tc>
          <w:tcPr>
            <w:tcW w:w="203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2</w:t>
            </w:r>
            <w:r>
              <w:rPr>
                <w:rFonts w:hint="eastAsia"/>
              </w:rPr>
              <w:t>、境内上市的外资股</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0.00%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0.00%</w:t>
            </w:r>
          </w:p>
        </w:tc>
      </w:tr>
      <w:tr w:rsidR="00A9288A">
        <w:tc>
          <w:tcPr>
            <w:tcW w:w="203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3</w:t>
            </w:r>
            <w:r>
              <w:rPr>
                <w:rFonts w:hint="eastAsia"/>
              </w:rPr>
              <w:t>、境外上市的外资股</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eastAsia="Times New Roman" w:cs="Times New Roman"/>
              </w:rPr>
              <w:t>0</w:t>
            </w:r>
            <w:r>
              <w:rPr>
                <w:rFonts w:cs="Times New Roman"/>
              </w:rPr>
              <w:t>.00%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0.00%</w:t>
            </w:r>
          </w:p>
        </w:tc>
      </w:tr>
      <w:tr w:rsidR="00A9288A">
        <w:tc>
          <w:tcPr>
            <w:tcW w:w="203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4</w:t>
            </w:r>
            <w:r>
              <w:rPr>
                <w:rFonts w:hint="eastAsia"/>
              </w:rPr>
              <w:t>、其他</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0.00%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0.00%</w:t>
            </w:r>
          </w:p>
        </w:tc>
      </w:tr>
      <w:tr w:rsidR="00A9288A">
        <w:tc>
          <w:tcPr>
            <w:tcW w:w="203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三、股份总数</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362,340,972</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362,340,972</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w:t>
            </w:r>
          </w:p>
        </w:tc>
      </w:tr>
    </w:tbl>
    <w:p w:rsidR="00A9288A" w:rsidRDefault="007A4434">
      <w:pPr>
        <w:jc w:val="left"/>
        <w:rPr>
          <w:rFonts w:eastAsia="Times New Roman" w:cs="Times New Roman"/>
        </w:rPr>
      </w:pPr>
      <w:r>
        <w:rPr>
          <w:rFonts w:hint="eastAsia"/>
        </w:rPr>
        <w:t>股份变动的原因</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股份变动的批准情况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股份变动的过户情况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股份变动对最近一年和最近一期基本每股收益和稀释每股收益、归属于公司普通股股东的每股净资产等财务指标的影响</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公司认为必要或证券监管机构要求披露的其他内容</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Section"/>
        <w:outlineLvl w:val="2"/>
        <w:rPr>
          <w:rFonts w:eastAsia="Times New Roman" w:cs="Times New Roman"/>
        </w:rPr>
      </w:pPr>
      <w:r>
        <w:rPr>
          <w:rFonts w:cs="Times New Roman"/>
        </w:rPr>
        <w:lastRenderedPageBreak/>
        <w:t>2</w:t>
      </w:r>
      <w:r>
        <w:rPr>
          <w:rFonts w:hint="eastAsia"/>
        </w:rPr>
        <w:t>、限售股份变动情况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right"/>
        <w:rPr>
          <w:rFonts w:eastAsia="Times New Roman" w:cs="Times New Roman"/>
        </w:rPr>
      </w:pPr>
      <w:r>
        <w:rPr>
          <w:rFonts w:hint="eastAsia"/>
        </w:rPr>
        <w:t>单位：股</w:t>
      </w:r>
    </w:p>
    <w:tbl>
      <w:tblPr>
        <w:tblW w:w="0" w:type="auto"/>
        <w:tblInd w:w="28" w:type="dxa"/>
        <w:tblLayout w:type="fixed"/>
        <w:tblCellMar>
          <w:left w:w="28" w:type="dxa"/>
          <w:right w:w="28" w:type="dxa"/>
        </w:tblCellMar>
        <w:tblLook w:val="0000" w:firstRow="0" w:lastRow="0" w:firstColumn="0" w:lastColumn="0" w:noHBand="0" w:noVBand="0"/>
      </w:tblPr>
      <w:tblGrid>
        <w:gridCol w:w="1369"/>
        <w:gridCol w:w="1367"/>
        <w:gridCol w:w="950"/>
        <w:gridCol w:w="850"/>
        <w:gridCol w:w="1560"/>
        <w:gridCol w:w="1701"/>
        <w:gridCol w:w="1774"/>
      </w:tblGrid>
      <w:tr w:rsidR="00A9288A">
        <w:tc>
          <w:tcPr>
            <w:tcW w:w="136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股东名称</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期初限售股数</w:t>
            </w:r>
          </w:p>
        </w:tc>
        <w:tc>
          <w:tcPr>
            <w:tcW w:w="9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本期解除限售股数</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本期增加限售股数</w:t>
            </w:r>
          </w:p>
        </w:tc>
        <w:tc>
          <w:tcPr>
            <w:tcW w:w="156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期末限售股数</w:t>
            </w:r>
          </w:p>
        </w:tc>
        <w:tc>
          <w:tcPr>
            <w:tcW w:w="17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限售原因</w:t>
            </w:r>
          </w:p>
        </w:tc>
        <w:tc>
          <w:tcPr>
            <w:tcW w:w="177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拟解除限售日期</w:t>
            </w:r>
          </w:p>
        </w:tc>
      </w:tr>
      <w:tr w:rsidR="00A9288A">
        <w:tc>
          <w:tcPr>
            <w:tcW w:w="136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申万秋</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41,713,461</w:t>
            </w:r>
          </w:p>
        </w:tc>
        <w:tc>
          <w:tcPr>
            <w:tcW w:w="95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41,713,461</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高管锁定股</w:t>
            </w:r>
          </w:p>
        </w:tc>
        <w:tc>
          <w:tcPr>
            <w:tcW w:w="177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每年按照上年末持有股份</w:t>
            </w:r>
            <w:r>
              <w:rPr>
                <w:rFonts w:cs="Times New Roman"/>
              </w:rPr>
              <w:t>25%</w:t>
            </w:r>
            <w:r>
              <w:rPr>
                <w:rFonts w:hint="eastAsia"/>
              </w:rPr>
              <w:t>解除限售</w:t>
            </w:r>
          </w:p>
        </w:tc>
      </w:tr>
      <w:tr w:rsidR="00A9288A">
        <w:tc>
          <w:tcPr>
            <w:tcW w:w="136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申万秋</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16,938,932</w:t>
            </w:r>
          </w:p>
        </w:tc>
        <w:tc>
          <w:tcPr>
            <w:tcW w:w="95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16,938,932</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发股收购资产锁定</w:t>
            </w:r>
          </w:p>
        </w:tc>
        <w:tc>
          <w:tcPr>
            <w:tcW w:w="177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2019</w:t>
            </w:r>
            <w:r>
              <w:rPr>
                <w:rFonts w:hint="eastAsia"/>
              </w:rPr>
              <w:t>年</w:t>
            </w:r>
            <w:r>
              <w:rPr>
                <w:rFonts w:cs="Times New Roman"/>
              </w:rPr>
              <w:t>1</w:t>
            </w:r>
            <w:r>
              <w:rPr>
                <w:rFonts w:hint="eastAsia"/>
              </w:rPr>
              <w:t>月</w:t>
            </w:r>
            <w:r>
              <w:rPr>
                <w:rFonts w:cs="Times New Roman"/>
              </w:rPr>
              <w:t>8</w:t>
            </w:r>
            <w:r>
              <w:rPr>
                <w:rFonts w:hint="eastAsia"/>
              </w:rPr>
              <w:t>日</w:t>
            </w:r>
          </w:p>
        </w:tc>
      </w:tr>
      <w:tr w:rsidR="00A9288A">
        <w:tc>
          <w:tcPr>
            <w:tcW w:w="136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上海言盛投资合伙企业（有限合伙）</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29,643,130</w:t>
            </w:r>
          </w:p>
        </w:tc>
        <w:tc>
          <w:tcPr>
            <w:tcW w:w="95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29,643,130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发股收购资产锁定</w:t>
            </w:r>
          </w:p>
        </w:tc>
        <w:tc>
          <w:tcPr>
            <w:tcW w:w="177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2019</w:t>
            </w:r>
            <w:r>
              <w:rPr>
                <w:rFonts w:hint="eastAsia"/>
              </w:rPr>
              <w:t>年</w:t>
            </w:r>
            <w:r>
              <w:rPr>
                <w:rFonts w:cs="Times New Roman"/>
              </w:rPr>
              <w:t>1</w:t>
            </w:r>
            <w:r>
              <w:rPr>
                <w:rFonts w:hint="eastAsia"/>
              </w:rPr>
              <w:t>月</w:t>
            </w:r>
            <w:r>
              <w:rPr>
                <w:rFonts w:cs="Times New Roman"/>
              </w:rPr>
              <w:t>8</w:t>
            </w:r>
            <w:r>
              <w:rPr>
                <w:rFonts w:hint="eastAsia"/>
              </w:rPr>
              <w:t>日</w:t>
            </w:r>
          </w:p>
        </w:tc>
      </w:tr>
      <w:tr w:rsidR="00A9288A">
        <w:tc>
          <w:tcPr>
            <w:tcW w:w="136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88,295,523</w:t>
            </w:r>
          </w:p>
        </w:tc>
        <w:tc>
          <w:tcPr>
            <w:tcW w:w="95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88,295,523</w:t>
            </w:r>
          </w:p>
        </w:tc>
        <w:tc>
          <w:tcPr>
            <w:tcW w:w="17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177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r>
    </w:tbl>
    <w:p w:rsidR="00A9288A" w:rsidRDefault="007A4434">
      <w:pPr>
        <w:pStyle w:val="Chapter"/>
        <w:outlineLvl w:val="1"/>
        <w:rPr>
          <w:rFonts w:eastAsia="Times New Roman" w:cs="Times New Roman"/>
        </w:rPr>
      </w:pPr>
      <w:r>
        <w:rPr>
          <w:rFonts w:hint="eastAsia"/>
        </w:rPr>
        <w:t>二、证券发行与上市情况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Chapter"/>
        <w:outlineLvl w:val="1"/>
        <w:rPr>
          <w:rFonts w:eastAsia="Times New Roman" w:cs="Times New Roman"/>
        </w:rPr>
      </w:pPr>
      <w:r>
        <w:rPr>
          <w:rFonts w:hint="eastAsia"/>
        </w:rPr>
        <w:t>三、公司股东数量及持股情况</w:t>
      </w:r>
    </w:p>
    <w:p w:rsidR="00A9288A" w:rsidRDefault="007A4434">
      <w:pPr>
        <w:jc w:val="right"/>
        <w:rPr>
          <w:rFonts w:eastAsia="Times New Roman" w:cs="Times New Roman"/>
        </w:rPr>
      </w:pPr>
      <w:r>
        <w:rPr>
          <w:rFonts w:hint="eastAsia"/>
        </w:rPr>
        <w:t>单位：股</w:t>
      </w:r>
    </w:p>
    <w:tbl>
      <w:tblPr>
        <w:tblW w:w="0" w:type="auto"/>
        <w:tblInd w:w="28" w:type="dxa"/>
        <w:tblLayout w:type="fixed"/>
        <w:tblCellMar>
          <w:left w:w="28" w:type="dxa"/>
          <w:right w:w="28" w:type="dxa"/>
        </w:tblCellMar>
        <w:tblLook w:val="0000" w:firstRow="0" w:lastRow="0" w:firstColumn="0" w:lastColumn="0" w:noHBand="0" w:noVBand="0"/>
      </w:tblPr>
      <w:tblGrid>
        <w:gridCol w:w="1477"/>
        <w:gridCol w:w="1349"/>
        <w:gridCol w:w="1349"/>
        <w:gridCol w:w="898"/>
        <w:gridCol w:w="30"/>
        <w:gridCol w:w="851"/>
        <w:gridCol w:w="992"/>
        <w:gridCol w:w="375"/>
        <w:gridCol w:w="617"/>
        <w:gridCol w:w="709"/>
        <w:gridCol w:w="922"/>
      </w:tblGrid>
      <w:tr w:rsidR="00A9288A">
        <w:tc>
          <w:tcPr>
            <w:tcW w:w="2826"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报告期末普通股股东总数</w:t>
            </w:r>
          </w:p>
        </w:tc>
        <w:tc>
          <w:tcPr>
            <w:tcW w:w="224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22,254</w:t>
            </w:r>
          </w:p>
        </w:tc>
        <w:tc>
          <w:tcPr>
            <w:tcW w:w="2248"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报告期末表决权恢复的优先股股东总数（如有）（参见注</w:t>
            </w:r>
            <w:r>
              <w:rPr>
                <w:rFonts w:cs="Times New Roman"/>
              </w:rPr>
              <w:t>8</w:t>
            </w:r>
            <w:r>
              <w:rPr>
                <w:rFonts w:hint="eastAsia"/>
              </w:rPr>
              <w:t>）</w:t>
            </w:r>
          </w:p>
        </w:tc>
        <w:tc>
          <w:tcPr>
            <w:tcW w:w="224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r>
      <w:tr w:rsidR="00A9288A">
        <w:tc>
          <w:tcPr>
            <w:tcW w:w="9569" w:type="dxa"/>
            <w:gridSpan w:val="11"/>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持股</w:t>
            </w:r>
            <w:r>
              <w:rPr>
                <w:rFonts w:cs="Times New Roman"/>
              </w:rPr>
              <w:t>5%</w:t>
            </w:r>
            <w:r>
              <w:rPr>
                <w:rFonts w:hint="eastAsia"/>
              </w:rPr>
              <w:t>以上的普通股股东或前</w:t>
            </w:r>
            <w:r>
              <w:rPr>
                <w:rFonts w:cs="Times New Roman"/>
              </w:rPr>
              <w:t>10</w:t>
            </w:r>
            <w:r>
              <w:rPr>
                <w:rFonts w:hint="eastAsia"/>
              </w:rPr>
              <w:t>名股东持股情况</w:t>
            </w:r>
          </w:p>
        </w:tc>
      </w:tr>
      <w:tr w:rsidR="00A9288A">
        <w:tc>
          <w:tcPr>
            <w:tcW w:w="1477"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股东名称</w:t>
            </w:r>
          </w:p>
        </w:tc>
        <w:tc>
          <w:tcPr>
            <w:tcW w:w="1349"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股东性质</w:t>
            </w:r>
          </w:p>
        </w:tc>
        <w:tc>
          <w:tcPr>
            <w:tcW w:w="1349"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持股比例</w:t>
            </w:r>
          </w:p>
        </w:tc>
        <w:tc>
          <w:tcPr>
            <w:tcW w:w="928" w:type="dxa"/>
            <w:gridSpan w:val="2"/>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报告期末持股数量</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报告期内增减变动情况</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持有有限售条件的股份数量</w:t>
            </w:r>
          </w:p>
        </w:tc>
        <w:tc>
          <w:tcPr>
            <w:tcW w:w="992" w:type="dxa"/>
            <w:gridSpan w:val="2"/>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持有无限售条件的股份数量</w:t>
            </w:r>
          </w:p>
        </w:tc>
        <w:tc>
          <w:tcPr>
            <w:tcW w:w="1631"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质押或冻结情况</w:t>
            </w:r>
          </w:p>
        </w:tc>
      </w:tr>
      <w:tr w:rsidR="00A9288A">
        <w:tc>
          <w:tcPr>
            <w:tcW w:w="1477"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349"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349"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928" w:type="dxa"/>
            <w:gridSpan w:val="2"/>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992" w:type="dxa"/>
            <w:gridSpan w:val="2"/>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股份状态</w:t>
            </w:r>
          </w:p>
        </w:tc>
        <w:tc>
          <w:tcPr>
            <w:tcW w:w="92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数量</w:t>
            </w:r>
          </w:p>
        </w:tc>
      </w:tr>
      <w:tr w:rsidR="00A9288A">
        <w:tc>
          <w:tcPr>
            <w:tcW w:w="1477"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申万秋</w:t>
            </w:r>
          </w:p>
        </w:tc>
        <w:tc>
          <w:tcPr>
            <w:tcW w:w="1349"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境内自然人</w:t>
            </w:r>
          </w:p>
        </w:tc>
        <w:tc>
          <w:tcPr>
            <w:tcW w:w="134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21.58%</w:t>
            </w:r>
          </w:p>
        </w:tc>
        <w:tc>
          <w:tcPr>
            <w:tcW w:w="928"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78,203,191</w:t>
            </w:r>
          </w:p>
        </w:tc>
        <w:tc>
          <w:tcPr>
            <w:tcW w:w="851"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eastAsia="Times New Roman" w:cs="Times New Roman"/>
              </w:rPr>
              <w:t>0</w:t>
            </w:r>
          </w:p>
        </w:tc>
        <w:tc>
          <w:tcPr>
            <w:tcW w:w="992"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58,652,393</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19,550,798</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质押</w:t>
            </w:r>
          </w:p>
        </w:tc>
        <w:tc>
          <w:tcPr>
            <w:tcW w:w="92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47,210,000</w:t>
            </w:r>
          </w:p>
        </w:tc>
      </w:tr>
      <w:tr w:rsidR="00A9288A">
        <w:tc>
          <w:tcPr>
            <w:tcW w:w="1477"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魏法军</w:t>
            </w:r>
          </w:p>
        </w:tc>
        <w:tc>
          <w:tcPr>
            <w:tcW w:w="1349"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境内自然人</w:t>
            </w:r>
          </w:p>
        </w:tc>
        <w:tc>
          <w:tcPr>
            <w:tcW w:w="134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8.51%</w:t>
            </w:r>
          </w:p>
        </w:tc>
        <w:tc>
          <w:tcPr>
            <w:tcW w:w="928"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30,824,886</w:t>
            </w:r>
          </w:p>
        </w:tc>
        <w:tc>
          <w:tcPr>
            <w:tcW w:w="851"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eastAsia="Times New Roman" w:cs="Times New Roman"/>
              </w:rPr>
              <w:t>0</w:t>
            </w:r>
          </w:p>
        </w:tc>
        <w:tc>
          <w:tcPr>
            <w:tcW w:w="992"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eastAsia="Times New Roman" w:cs="Times New Roman"/>
              </w:rPr>
            </w:pPr>
            <w:r>
              <w:rPr>
                <w:rFonts w:eastAsia="Times New Roman" w:cs="Times New Roman"/>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30,824,886</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质押</w:t>
            </w:r>
          </w:p>
        </w:tc>
        <w:tc>
          <w:tcPr>
            <w:tcW w:w="92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22,300,000</w:t>
            </w:r>
          </w:p>
        </w:tc>
      </w:tr>
      <w:tr w:rsidR="00A9288A">
        <w:tc>
          <w:tcPr>
            <w:tcW w:w="1477"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上海言盛投资合伙企业（有限合伙）</w:t>
            </w:r>
          </w:p>
        </w:tc>
        <w:tc>
          <w:tcPr>
            <w:tcW w:w="1349"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境内非国有法人</w:t>
            </w:r>
          </w:p>
        </w:tc>
        <w:tc>
          <w:tcPr>
            <w:tcW w:w="134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8.18%</w:t>
            </w:r>
          </w:p>
        </w:tc>
        <w:tc>
          <w:tcPr>
            <w:tcW w:w="928"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29,643,130</w:t>
            </w:r>
          </w:p>
        </w:tc>
        <w:tc>
          <w:tcPr>
            <w:tcW w:w="851"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eastAsia="Times New Roman" w:cs="Times New Roman"/>
              </w:rPr>
              <w:t>0</w:t>
            </w:r>
          </w:p>
        </w:tc>
        <w:tc>
          <w:tcPr>
            <w:tcW w:w="992"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29,643,130</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0</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质押</w:t>
            </w:r>
          </w:p>
        </w:tc>
        <w:tc>
          <w:tcPr>
            <w:tcW w:w="92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14,349,990</w:t>
            </w:r>
          </w:p>
        </w:tc>
      </w:tr>
      <w:tr w:rsidR="00A9288A">
        <w:tc>
          <w:tcPr>
            <w:tcW w:w="1477"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中国建设银行股份有限公司－富国中证军工指数分级证券投资基金</w:t>
            </w:r>
          </w:p>
        </w:tc>
        <w:tc>
          <w:tcPr>
            <w:tcW w:w="1349"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其他</w:t>
            </w:r>
          </w:p>
        </w:tc>
        <w:tc>
          <w:tcPr>
            <w:tcW w:w="134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1.54%</w:t>
            </w:r>
          </w:p>
        </w:tc>
        <w:tc>
          <w:tcPr>
            <w:tcW w:w="928"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5,588,039</w:t>
            </w:r>
          </w:p>
        </w:tc>
        <w:tc>
          <w:tcPr>
            <w:tcW w:w="851"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cs="Times New Roman"/>
              </w:rPr>
            </w:pPr>
            <w:r>
              <w:rPr>
                <w:rFonts w:cs="Times New Roman"/>
              </w:rPr>
              <w:t>-148,200</w:t>
            </w:r>
          </w:p>
        </w:tc>
        <w:tc>
          <w:tcPr>
            <w:tcW w:w="992"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eastAsia="Times New Roman" w:cs="Times New Roman"/>
              </w:rPr>
            </w:pPr>
            <w:r>
              <w:rPr>
                <w:rFonts w:eastAsia="Times New Roman" w:cs="Times New Roman"/>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5,588,039</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92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477"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季爱琴</w:t>
            </w:r>
          </w:p>
        </w:tc>
        <w:tc>
          <w:tcPr>
            <w:tcW w:w="1349"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境内自然人</w:t>
            </w:r>
          </w:p>
        </w:tc>
        <w:tc>
          <w:tcPr>
            <w:tcW w:w="134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1.04%</w:t>
            </w:r>
          </w:p>
        </w:tc>
        <w:tc>
          <w:tcPr>
            <w:tcW w:w="928"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3,764,898</w:t>
            </w:r>
          </w:p>
        </w:tc>
        <w:tc>
          <w:tcPr>
            <w:tcW w:w="851"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eastAsia="Times New Roman" w:cs="Times New Roman"/>
              </w:rPr>
              <w:t>0</w:t>
            </w:r>
          </w:p>
        </w:tc>
        <w:tc>
          <w:tcPr>
            <w:tcW w:w="992"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eastAsia="Times New Roman" w:cs="Times New Roman"/>
              </w:rPr>
            </w:pPr>
            <w:r>
              <w:rPr>
                <w:rFonts w:eastAsia="Times New Roman" w:cs="Times New Roman"/>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3,764,898</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92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477"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广发期货有限公</w:t>
            </w:r>
            <w:r>
              <w:rPr>
                <w:rFonts w:hint="eastAsia"/>
              </w:rPr>
              <w:lastRenderedPageBreak/>
              <w:t>司</w:t>
            </w:r>
            <w:r>
              <w:rPr>
                <w:rFonts w:eastAsia="Times New Roman" w:cs="Times New Roman"/>
              </w:rPr>
              <w:t>-</w:t>
            </w:r>
            <w:r>
              <w:rPr>
                <w:rFonts w:hint="eastAsia"/>
              </w:rPr>
              <w:t>广发期慧</w:t>
            </w:r>
            <w:r>
              <w:rPr>
                <w:rFonts w:cs="Times New Roman"/>
              </w:rPr>
              <w:t>1</w:t>
            </w:r>
            <w:r>
              <w:rPr>
                <w:rFonts w:hint="eastAsia"/>
              </w:rPr>
              <w:t>期资产管理计划</w:t>
            </w:r>
          </w:p>
        </w:tc>
        <w:tc>
          <w:tcPr>
            <w:tcW w:w="1349"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lastRenderedPageBreak/>
              <w:t>其他</w:t>
            </w:r>
          </w:p>
        </w:tc>
        <w:tc>
          <w:tcPr>
            <w:tcW w:w="134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0.99%</w:t>
            </w:r>
          </w:p>
        </w:tc>
        <w:tc>
          <w:tcPr>
            <w:tcW w:w="928"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3,603,930</w:t>
            </w:r>
          </w:p>
        </w:tc>
        <w:tc>
          <w:tcPr>
            <w:tcW w:w="851"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eastAsia="Times New Roman" w:cs="Times New Roman"/>
              </w:rPr>
              <w:t>0</w:t>
            </w:r>
          </w:p>
        </w:tc>
        <w:tc>
          <w:tcPr>
            <w:tcW w:w="992"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eastAsia="Times New Roman" w:cs="Times New Roman"/>
              </w:rPr>
            </w:pPr>
            <w:r>
              <w:rPr>
                <w:rFonts w:eastAsia="Times New Roman" w:cs="Times New Roman"/>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3,603,930</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92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477"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lastRenderedPageBreak/>
              <w:t>兴业银行股份有限公司－中邮战略新兴产业混合型证券投资基金</w:t>
            </w:r>
          </w:p>
        </w:tc>
        <w:tc>
          <w:tcPr>
            <w:tcW w:w="1349"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其他</w:t>
            </w:r>
          </w:p>
        </w:tc>
        <w:tc>
          <w:tcPr>
            <w:tcW w:w="134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0.97%</w:t>
            </w:r>
          </w:p>
        </w:tc>
        <w:tc>
          <w:tcPr>
            <w:tcW w:w="928"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3,513,462</w:t>
            </w:r>
          </w:p>
        </w:tc>
        <w:tc>
          <w:tcPr>
            <w:tcW w:w="851"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cs="Times New Roman"/>
              </w:rPr>
            </w:pPr>
            <w:r>
              <w:rPr>
                <w:rFonts w:cs="Times New Roman"/>
              </w:rPr>
              <w:t>3,513,462</w:t>
            </w:r>
          </w:p>
        </w:tc>
        <w:tc>
          <w:tcPr>
            <w:tcW w:w="992"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eastAsia="Times New Roman" w:cs="Times New Roman"/>
              </w:rPr>
            </w:pPr>
            <w:r>
              <w:rPr>
                <w:rFonts w:eastAsia="Times New Roman" w:cs="Times New Roman"/>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3,513,462</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92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477"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胡滢</w:t>
            </w:r>
          </w:p>
        </w:tc>
        <w:tc>
          <w:tcPr>
            <w:tcW w:w="1349"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境内自然人</w:t>
            </w:r>
          </w:p>
        </w:tc>
        <w:tc>
          <w:tcPr>
            <w:tcW w:w="134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0.79%</w:t>
            </w:r>
          </w:p>
        </w:tc>
        <w:tc>
          <w:tcPr>
            <w:tcW w:w="928"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2,880,000</w:t>
            </w:r>
          </w:p>
        </w:tc>
        <w:tc>
          <w:tcPr>
            <w:tcW w:w="851"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cs="Times New Roman"/>
              </w:rPr>
            </w:pPr>
            <w:r>
              <w:rPr>
                <w:rFonts w:cs="Times New Roman"/>
              </w:rPr>
              <w:t>-902,050</w:t>
            </w:r>
          </w:p>
        </w:tc>
        <w:tc>
          <w:tcPr>
            <w:tcW w:w="992"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eastAsia="Times New Roman" w:cs="Times New Roman"/>
              </w:rPr>
            </w:pPr>
            <w:r>
              <w:rPr>
                <w:rFonts w:eastAsia="Times New Roman" w:cs="Times New Roman"/>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2,880,000</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92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477"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北信瑞丰基金－宁波银行－北信瑞丰基金海兰信</w:t>
            </w:r>
            <w:r>
              <w:rPr>
                <w:rFonts w:cs="Times New Roman"/>
              </w:rPr>
              <w:t>2</w:t>
            </w:r>
            <w:r>
              <w:rPr>
                <w:rFonts w:hint="eastAsia"/>
              </w:rPr>
              <w:t>号资产管理计划</w:t>
            </w:r>
          </w:p>
        </w:tc>
        <w:tc>
          <w:tcPr>
            <w:tcW w:w="1349"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其他</w:t>
            </w:r>
          </w:p>
        </w:tc>
        <w:tc>
          <w:tcPr>
            <w:tcW w:w="134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0.71%</w:t>
            </w:r>
          </w:p>
        </w:tc>
        <w:tc>
          <w:tcPr>
            <w:tcW w:w="928"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2,584,050</w:t>
            </w:r>
          </w:p>
        </w:tc>
        <w:tc>
          <w:tcPr>
            <w:tcW w:w="851"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eastAsia="Times New Roman" w:cs="Times New Roman"/>
              </w:rPr>
              <w:t>0</w:t>
            </w:r>
          </w:p>
        </w:tc>
        <w:tc>
          <w:tcPr>
            <w:tcW w:w="992"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eastAsia="Times New Roman" w:cs="Times New Roman"/>
              </w:rPr>
            </w:pPr>
            <w:r>
              <w:rPr>
                <w:rFonts w:eastAsia="Times New Roman" w:cs="Times New Roman"/>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2,584,050</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92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477"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中国农业银行股份有限公司－中邮信息产业灵活配置混合型证券投资基金</w:t>
            </w:r>
          </w:p>
        </w:tc>
        <w:tc>
          <w:tcPr>
            <w:tcW w:w="1349"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其他</w:t>
            </w:r>
          </w:p>
        </w:tc>
        <w:tc>
          <w:tcPr>
            <w:tcW w:w="134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0.69%</w:t>
            </w:r>
          </w:p>
        </w:tc>
        <w:tc>
          <w:tcPr>
            <w:tcW w:w="928"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2,495,720</w:t>
            </w:r>
          </w:p>
        </w:tc>
        <w:tc>
          <w:tcPr>
            <w:tcW w:w="851" w:type="dxa"/>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cs="Times New Roman"/>
              </w:rPr>
            </w:pPr>
            <w:r>
              <w:rPr>
                <w:rFonts w:cs="Times New Roman"/>
              </w:rPr>
              <w:t>2,495,720</w:t>
            </w:r>
          </w:p>
        </w:tc>
        <w:tc>
          <w:tcPr>
            <w:tcW w:w="992"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eastAsia="Times New Roman" w:cs="Times New Roman"/>
              </w:rPr>
            </w:pPr>
            <w:r>
              <w:rPr>
                <w:rFonts w:eastAsia="Times New Roman" w:cs="Times New Roman"/>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2,495,720</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92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2826"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战略投资者或一般法人因配售新股成为前</w:t>
            </w:r>
            <w:r>
              <w:rPr>
                <w:rFonts w:cs="Times New Roman"/>
              </w:rPr>
              <w:t>10</w:t>
            </w:r>
            <w:r>
              <w:rPr>
                <w:rFonts w:hint="eastAsia"/>
              </w:rPr>
              <w:t>名股东的情况（如有）（参见注</w:t>
            </w:r>
            <w:r>
              <w:rPr>
                <w:rFonts w:cs="Times New Roman"/>
              </w:rPr>
              <w:t>3</w:t>
            </w:r>
            <w:r>
              <w:rPr>
                <w:rFonts w:hint="eastAsia"/>
              </w:rPr>
              <w:t>）</w:t>
            </w:r>
          </w:p>
        </w:tc>
        <w:tc>
          <w:tcPr>
            <w:tcW w:w="6743" w:type="dxa"/>
            <w:gridSpan w:val="9"/>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不适用</w:t>
            </w:r>
          </w:p>
        </w:tc>
      </w:tr>
      <w:tr w:rsidR="00A9288A">
        <w:tc>
          <w:tcPr>
            <w:tcW w:w="2826"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上述股东关联关系或一致行动的说明</w:t>
            </w:r>
          </w:p>
        </w:tc>
        <w:tc>
          <w:tcPr>
            <w:tcW w:w="6743" w:type="dxa"/>
            <w:gridSpan w:val="9"/>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申万秋为上海言盛的普通合伙人及实际控制人，因此申万秋与上海言盛构成一致行动人。</w:t>
            </w:r>
          </w:p>
        </w:tc>
      </w:tr>
      <w:tr w:rsidR="00A9288A">
        <w:tc>
          <w:tcPr>
            <w:tcW w:w="9569" w:type="dxa"/>
            <w:gridSpan w:val="11"/>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前</w:t>
            </w:r>
            <w:r>
              <w:rPr>
                <w:rFonts w:cs="Times New Roman"/>
              </w:rPr>
              <w:t>10</w:t>
            </w:r>
            <w:r>
              <w:rPr>
                <w:rFonts w:hint="eastAsia"/>
              </w:rPr>
              <w:t>名无限售条件股东持股情况</w:t>
            </w:r>
          </w:p>
        </w:tc>
      </w:tr>
      <w:tr w:rsidR="00A9288A">
        <w:tc>
          <w:tcPr>
            <w:tcW w:w="2826" w:type="dxa"/>
            <w:gridSpan w:val="2"/>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股东名称</w:t>
            </w:r>
          </w:p>
        </w:tc>
        <w:tc>
          <w:tcPr>
            <w:tcW w:w="5112" w:type="dxa"/>
            <w:gridSpan w:val="7"/>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报告期末持有无限售条件股份数量</w:t>
            </w:r>
          </w:p>
        </w:tc>
        <w:tc>
          <w:tcPr>
            <w:tcW w:w="1631"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股份种类</w:t>
            </w:r>
          </w:p>
        </w:tc>
      </w:tr>
      <w:tr w:rsidR="00A9288A">
        <w:tc>
          <w:tcPr>
            <w:tcW w:w="2826" w:type="dxa"/>
            <w:gridSpan w:val="2"/>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5112" w:type="dxa"/>
            <w:gridSpan w:val="7"/>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股份种类</w:t>
            </w:r>
          </w:p>
        </w:tc>
        <w:tc>
          <w:tcPr>
            <w:tcW w:w="92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数量</w:t>
            </w:r>
          </w:p>
        </w:tc>
      </w:tr>
      <w:tr w:rsidR="00A9288A">
        <w:tc>
          <w:tcPr>
            <w:tcW w:w="2826"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魏法军</w:t>
            </w:r>
          </w:p>
        </w:tc>
        <w:tc>
          <w:tcPr>
            <w:tcW w:w="5112" w:type="dxa"/>
            <w:gridSpan w:val="7"/>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30,824,886</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人民币普通股</w:t>
            </w:r>
          </w:p>
        </w:tc>
        <w:tc>
          <w:tcPr>
            <w:tcW w:w="92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30,824,886</w:t>
            </w:r>
          </w:p>
        </w:tc>
      </w:tr>
      <w:tr w:rsidR="00A9288A">
        <w:tc>
          <w:tcPr>
            <w:tcW w:w="2826"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申万秋</w:t>
            </w:r>
          </w:p>
        </w:tc>
        <w:tc>
          <w:tcPr>
            <w:tcW w:w="5112" w:type="dxa"/>
            <w:gridSpan w:val="7"/>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19,550,798</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人民币普通股</w:t>
            </w:r>
          </w:p>
        </w:tc>
        <w:tc>
          <w:tcPr>
            <w:tcW w:w="92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19,550,798</w:t>
            </w:r>
          </w:p>
        </w:tc>
      </w:tr>
      <w:tr w:rsidR="00A9288A">
        <w:tc>
          <w:tcPr>
            <w:tcW w:w="2826"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中国建设银行股份有限公司－富国中证军工指数分级证券投资基金</w:t>
            </w:r>
          </w:p>
        </w:tc>
        <w:tc>
          <w:tcPr>
            <w:tcW w:w="5112" w:type="dxa"/>
            <w:gridSpan w:val="7"/>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5,588,039</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人民币普通股</w:t>
            </w:r>
          </w:p>
        </w:tc>
        <w:tc>
          <w:tcPr>
            <w:tcW w:w="92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5,588,039</w:t>
            </w:r>
          </w:p>
        </w:tc>
      </w:tr>
      <w:tr w:rsidR="00A9288A">
        <w:tc>
          <w:tcPr>
            <w:tcW w:w="2826"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季爱琴</w:t>
            </w:r>
          </w:p>
        </w:tc>
        <w:tc>
          <w:tcPr>
            <w:tcW w:w="5112" w:type="dxa"/>
            <w:gridSpan w:val="7"/>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3,764,898</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人民币普通股</w:t>
            </w:r>
          </w:p>
        </w:tc>
        <w:tc>
          <w:tcPr>
            <w:tcW w:w="92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3,764,898</w:t>
            </w:r>
          </w:p>
        </w:tc>
      </w:tr>
      <w:tr w:rsidR="00A9288A">
        <w:tc>
          <w:tcPr>
            <w:tcW w:w="2826"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广发期货有限公司</w:t>
            </w:r>
            <w:r>
              <w:rPr>
                <w:rFonts w:eastAsia="Times New Roman" w:cs="Times New Roman"/>
              </w:rPr>
              <w:t>-</w:t>
            </w:r>
            <w:r>
              <w:rPr>
                <w:rFonts w:hint="eastAsia"/>
              </w:rPr>
              <w:t>广发期慧</w:t>
            </w:r>
            <w:r>
              <w:rPr>
                <w:rFonts w:cs="Times New Roman"/>
              </w:rPr>
              <w:t>1</w:t>
            </w:r>
            <w:r>
              <w:rPr>
                <w:rFonts w:hint="eastAsia"/>
              </w:rPr>
              <w:t>期资产管理计划</w:t>
            </w:r>
          </w:p>
        </w:tc>
        <w:tc>
          <w:tcPr>
            <w:tcW w:w="5112" w:type="dxa"/>
            <w:gridSpan w:val="7"/>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3,603,930</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人民币普通股</w:t>
            </w:r>
          </w:p>
        </w:tc>
        <w:tc>
          <w:tcPr>
            <w:tcW w:w="92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3,603,930</w:t>
            </w:r>
          </w:p>
        </w:tc>
      </w:tr>
      <w:tr w:rsidR="00A9288A">
        <w:tc>
          <w:tcPr>
            <w:tcW w:w="2826"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兴业银行股份有限公司－中邮战略新兴产业混合型证券投资基金</w:t>
            </w:r>
          </w:p>
        </w:tc>
        <w:tc>
          <w:tcPr>
            <w:tcW w:w="5112" w:type="dxa"/>
            <w:gridSpan w:val="7"/>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3,513,462</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人民币普通股</w:t>
            </w:r>
          </w:p>
        </w:tc>
        <w:tc>
          <w:tcPr>
            <w:tcW w:w="92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3,513,462</w:t>
            </w:r>
          </w:p>
        </w:tc>
      </w:tr>
      <w:tr w:rsidR="00A9288A">
        <w:tc>
          <w:tcPr>
            <w:tcW w:w="2826"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胡滢</w:t>
            </w:r>
          </w:p>
        </w:tc>
        <w:tc>
          <w:tcPr>
            <w:tcW w:w="5112" w:type="dxa"/>
            <w:gridSpan w:val="7"/>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2,880,000</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人民币普通股</w:t>
            </w:r>
          </w:p>
        </w:tc>
        <w:tc>
          <w:tcPr>
            <w:tcW w:w="92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2,880,000</w:t>
            </w:r>
          </w:p>
        </w:tc>
      </w:tr>
      <w:tr w:rsidR="00A9288A">
        <w:tc>
          <w:tcPr>
            <w:tcW w:w="2826"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lastRenderedPageBreak/>
              <w:t>北信瑞丰基金－宁波银行－北信瑞丰基金海兰信</w:t>
            </w:r>
            <w:r>
              <w:rPr>
                <w:rFonts w:cs="Times New Roman"/>
              </w:rPr>
              <w:t>2</w:t>
            </w:r>
            <w:r>
              <w:rPr>
                <w:rFonts w:hint="eastAsia"/>
              </w:rPr>
              <w:t>号资产管理计划</w:t>
            </w:r>
          </w:p>
        </w:tc>
        <w:tc>
          <w:tcPr>
            <w:tcW w:w="5112" w:type="dxa"/>
            <w:gridSpan w:val="7"/>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2,584,050</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人民币普通股</w:t>
            </w:r>
          </w:p>
        </w:tc>
        <w:tc>
          <w:tcPr>
            <w:tcW w:w="92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2,584,050</w:t>
            </w:r>
          </w:p>
        </w:tc>
      </w:tr>
      <w:tr w:rsidR="00A9288A">
        <w:tc>
          <w:tcPr>
            <w:tcW w:w="2826"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中国农业银行股份有限公司－中邮信息产业灵活配置混合型证券投资基金</w:t>
            </w:r>
          </w:p>
        </w:tc>
        <w:tc>
          <w:tcPr>
            <w:tcW w:w="5112" w:type="dxa"/>
            <w:gridSpan w:val="7"/>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2,495,720</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人民币普通股</w:t>
            </w:r>
          </w:p>
        </w:tc>
        <w:tc>
          <w:tcPr>
            <w:tcW w:w="92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2,495,720</w:t>
            </w:r>
          </w:p>
        </w:tc>
      </w:tr>
      <w:tr w:rsidR="00A9288A">
        <w:tc>
          <w:tcPr>
            <w:tcW w:w="2826" w:type="dxa"/>
            <w:gridSpan w:val="2"/>
            <w:tcBorders>
              <w:top w:val="single" w:sz="4" w:space="0" w:color="auto"/>
              <w:left w:val="single" w:sz="4" w:space="0" w:color="auto"/>
              <w:bottom w:val="single" w:sz="4" w:space="0" w:color="auto"/>
              <w:right w:val="single" w:sz="4" w:space="0" w:color="auto"/>
            </w:tcBorders>
            <w:vAlign w:val="center"/>
          </w:tcPr>
          <w:p w:rsidR="00A9288A" w:rsidRDefault="007A4434">
            <w:pPr>
              <w:jc w:val="left"/>
              <w:rPr>
                <w:rFonts w:eastAsia="Times New Roman" w:cs="Times New Roman"/>
              </w:rPr>
            </w:pPr>
            <w:r>
              <w:rPr>
                <w:rFonts w:hint="eastAsia"/>
              </w:rPr>
              <w:t>蒋仕波</w:t>
            </w:r>
          </w:p>
        </w:tc>
        <w:tc>
          <w:tcPr>
            <w:tcW w:w="5112" w:type="dxa"/>
            <w:gridSpan w:val="7"/>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2,409,000</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人民币普通股</w:t>
            </w:r>
          </w:p>
        </w:tc>
        <w:tc>
          <w:tcPr>
            <w:tcW w:w="92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2,409,000</w:t>
            </w:r>
          </w:p>
        </w:tc>
      </w:tr>
      <w:tr w:rsidR="00A9288A">
        <w:tc>
          <w:tcPr>
            <w:tcW w:w="2826"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前</w:t>
            </w:r>
            <w:r>
              <w:rPr>
                <w:rFonts w:cs="Times New Roman"/>
              </w:rPr>
              <w:t>10</w:t>
            </w:r>
            <w:r>
              <w:rPr>
                <w:rFonts w:hint="eastAsia"/>
              </w:rPr>
              <w:t>名无限售流通股股东之间，以及前</w:t>
            </w:r>
            <w:r>
              <w:rPr>
                <w:rFonts w:cs="Times New Roman"/>
              </w:rPr>
              <w:t>10</w:t>
            </w:r>
            <w:r>
              <w:rPr>
                <w:rFonts w:hint="eastAsia"/>
              </w:rPr>
              <w:t>名无限售流通股股东和前</w:t>
            </w:r>
            <w:r>
              <w:rPr>
                <w:rFonts w:cs="Times New Roman"/>
              </w:rPr>
              <w:t>10</w:t>
            </w:r>
            <w:r>
              <w:rPr>
                <w:rFonts w:hint="eastAsia"/>
              </w:rPr>
              <w:t>名股东之间关联关系或一致行动的说明</w:t>
            </w:r>
          </w:p>
        </w:tc>
        <w:tc>
          <w:tcPr>
            <w:tcW w:w="6743" w:type="dxa"/>
            <w:gridSpan w:val="9"/>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申万秋为上海言盛的普通合伙人及实际控制人，因此申万秋与上海言盛构成一致行动人。</w:t>
            </w:r>
          </w:p>
        </w:tc>
      </w:tr>
      <w:tr w:rsidR="00A9288A">
        <w:tc>
          <w:tcPr>
            <w:tcW w:w="2826"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前</w:t>
            </w:r>
            <w:r>
              <w:rPr>
                <w:rFonts w:cs="Times New Roman"/>
              </w:rPr>
              <w:t>10</w:t>
            </w:r>
            <w:r>
              <w:rPr>
                <w:rFonts w:hint="eastAsia"/>
              </w:rPr>
              <w:t>名普通股股东参与融资融券业务股东情况说明（如有）（参见注</w:t>
            </w:r>
            <w:r>
              <w:rPr>
                <w:rFonts w:cs="Times New Roman"/>
              </w:rPr>
              <w:t>4</w:t>
            </w:r>
            <w:r>
              <w:rPr>
                <w:rFonts w:hint="eastAsia"/>
              </w:rPr>
              <w:t>）</w:t>
            </w:r>
          </w:p>
        </w:tc>
        <w:tc>
          <w:tcPr>
            <w:tcW w:w="6743" w:type="dxa"/>
            <w:gridSpan w:val="9"/>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公司股东季爱琴未通过普通证券账户持股，全部通过中国国际金融股份有限公司客户信用交易担保证券账户持股，合计持股</w:t>
            </w:r>
            <w:r>
              <w:rPr>
                <w:rFonts w:cs="Times New Roman"/>
              </w:rPr>
              <w:t xml:space="preserve">3,764,898 </w:t>
            </w:r>
            <w:r>
              <w:rPr>
                <w:rFonts w:hint="eastAsia"/>
              </w:rPr>
              <w:t>股；公司股东广发期货有限公司</w:t>
            </w:r>
            <w:r>
              <w:rPr>
                <w:rFonts w:eastAsia="Times New Roman" w:cs="Times New Roman"/>
              </w:rPr>
              <w:t>-</w:t>
            </w:r>
            <w:r>
              <w:rPr>
                <w:rFonts w:hint="eastAsia"/>
              </w:rPr>
              <w:t>广发期慧</w:t>
            </w:r>
            <w:r>
              <w:rPr>
                <w:rFonts w:cs="Times New Roman"/>
              </w:rPr>
              <w:t>1</w:t>
            </w:r>
            <w:r>
              <w:rPr>
                <w:rFonts w:hint="eastAsia"/>
              </w:rPr>
              <w:t>期资产管理计划未通过普通证券账户持股，全部通过广发证券股份有限公司客户信用交易担保证券账户持股，合计持有</w:t>
            </w:r>
            <w:r>
              <w:rPr>
                <w:rFonts w:cs="Times New Roman"/>
              </w:rPr>
              <w:t xml:space="preserve">3,603,930 </w:t>
            </w:r>
            <w:r>
              <w:rPr>
                <w:rFonts w:hint="eastAsia"/>
              </w:rPr>
              <w:t>股；公司股东蒋仕波除通过普通证券账户持有</w:t>
            </w:r>
            <w:r>
              <w:rPr>
                <w:rFonts w:cs="Times New Roman"/>
              </w:rPr>
              <w:t>1,729,800</w:t>
            </w:r>
            <w:r>
              <w:rPr>
                <w:rFonts w:hint="eastAsia"/>
              </w:rPr>
              <w:t>股外，还通过中信证券股份有限公司客户信用交易担保证券账户持有</w:t>
            </w:r>
            <w:r>
              <w:rPr>
                <w:rFonts w:cs="Times New Roman"/>
              </w:rPr>
              <w:t>679,200</w:t>
            </w:r>
            <w:r>
              <w:rPr>
                <w:rFonts w:hint="eastAsia"/>
              </w:rPr>
              <w:t>股，合计持股</w:t>
            </w:r>
            <w:r>
              <w:rPr>
                <w:rFonts w:cs="Times New Roman"/>
              </w:rPr>
              <w:t>2,409,000</w:t>
            </w:r>
            <w:r>
              <w:rPr>
                <w:rFonts w:hint="eastAsia"/>
              </w:rPr>
              <w:t>股。</w:t>
            </w:r>
          </w:p>
        </w:tc>
      </w:tr>
    </w:tbl>
    <w:p w:rsidR="00A9288A" w:rsidRDefault="007A4434">
      <w:pPr>
        <w:jc w:val="left"/>
        <w:rPr>
          <w:rFonts w:eastAsia="Times New Roman" w:cs="Times New Roman"/>
        </w:rPr>
      </w:pPr>
      <w:r>
        <w:rPr>
          <w:rFonts w:hint="eastAsia"/>
        </w:rPr>
        <w:t>公司前</w:t>
      </w:r>
      <w:r>
        <w:rPr>
          <w:rFonts w:cs="Times New Roman"/>
        </w:rPr>
        <w:t>10</w:t>
      </w:r>
      <w:r>
        <w:rPr>
          <w:rFonts w:hint="eastAsia"/>
        </w:rPr>
        <w:t>名普通股股东、前</w:t>
      </w:r>
      <w:r>
        <w:rPr>
          <w:rFonts w:cs="Times New Roman"/>
        </w:rPr>
        <w:t>10</w:t>
      </w:r>
      <w:r>
        <w:rPr>
          <w:rFonts w:hint="eastAsia"/>
        </w:rPr>
        <w:t>名无限售条件普通股股东在报告期内是否进行约定购回交易</w:t>
      </w:r>
    </w:p>
    <w:p w:rsidR="00A9288A" w:rsidRDefault="007A4434">
      <w:pPr>
        <w:jc w:val="left"/>
        <w:rPr>
          <w:rFonts w:cs="Times New Roman"/>
        </w:rPr>
      </w:pPr>
      <w:r>
        <w:rPr>
          <w:rFonts w:cs="Times New Roman"/>
        </w:rPr>
        <w:t xml:space="preserve">□ </w:t>
      </w:r>
      <w:r>
        <w:rPr>
          <w:rFonts w:hint="eastAsia"/>
        </w:rPr>
        <w:t>是</w:t>
      </w:r>
      <w:r>
        <w:rPr>
          <w:rFonts w:cs="Times New Roman"/>
        </w:rPr>
        <w:t xml:space="preserve"> √ </w:t>
      </w:r>
      <w:r>
        <w:rPr>
          <w:rFonts w:hint="eastAsia"/>
        </w:rPr>
        <w:t>否</w:t>
      </w:r>
      <w:r>
        <w:rPr>
          <w:rFonts w:cs="Times New Roman"/>
        </w:rPr>
        <w:t xml:space="preserve"> </w:t>
      </w:r>
    </w:p>
    <w:p w:rsidR="00A9288A" w:rsidRDefault="007A4434">
      <w:pPr>
        <w:jc w:val="left"/>
        <w:rPr>
          <w:rFonts w:eastAsia="Times New Roman" w:cs="Times New Roman"/>
        </w:rPr>
      </w:pPr>
      <w:r>
        <w:rPr>
          <w:rFonts w:hint="eastAsia"/>
        </w:rPr>
        <w:t>公司前</w:t>
      </w:r>
      <w:r>
        <w:rPr>
          <w:rFonts w:cs="Times New Roman"/>
        </w:rPr>
        <w:t>10</w:t>
      </w:r>
      <w:r>
        <w:rPr>
          <w:rFonts w:hint="eastAsia"/>
        </w:rPr>
        <w:t>名普通股股东、前</w:t>
      </w:r>
      <w:r>
        <w:rPr>
          <w:rFonts w:cs="Times New Roman"/>
        </w:rPr>
        <w:t>10</w:t>
      </w:r>
      <w:r>
        <w:rPr>
          <w:rFonts w:hint="eastAsia"/>
        </w:rPr>
        <w:t>名无限售条件普通股股东在报告期内未进行约定购回交易。</w:t>
      </w:r>
    </w:p>
    <w:p w:rsidR="00A9288A" w:rsidRDefault="007A4434">
      <w:pPr>
        <w:pStyle w:val="Chapter"/>
        <w:outlineLvl w:val="1"/>
        <w:rPr>
          <w:rFonts w:eastAsia="Times New Roman" w:cs="Times New Roman"/>
        </w:rPr>
      </w:pPr>
      <w:r>
        <w:rPr>
          <w:rFonts w:hint="eastAsia"/>
        </w:rPr>
        <w:t>四、控股股东或实际控制人变更情况</w:t>
      </w:r>
    </w:p>
    <w:p w:rsidR="00A9288A" w:rsidRDefault="007A4434">
      <w:pPr>
        <w:jc w:val="left"/>
        <w:rPr>
          <w:rFonts w:eastAsia="Times New Roman" w:cs="Times New Roman"/>
        </w:rPr>
      </w:pPr>
      <w:r>
        <w:rPr>
          <w:rFonts w:hint="eastAsia"/>
        </w:rPr>
        <w:t>控股股东报告期内变更</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公司报告期控股股东未发生变更。</w:t>
      </w:r>
    </w:p>
    <w:p w:rsidR="00A9288A" w:rsidRDefault="007A4434">
      <w:pPr>
        <w:jc w:val="left"/>
        <w:rPr>
          <w:rFonts w:eastAsia="Times New Roman" w:cs="Times New Roman"/>
        </w:rPr>
      </w:pPr>
      <w:r>
        <w:rPr>
          <w:rFonts w:hint="eastAsia"/>
        </w:rPr>
        <w:t>实际控制人报告期内变更</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公司报告期实际控制人未发生变更。</w:t>
      </w:r>
    </w:p>
    <w:p w:rsidR="00A9288A" w:rsidRDefault="00A9288A">
      <w:pPr>
        <w:jc w:val="left"/>
        <w:rPr>
          <w:rFonts w:eastAsia="Times New Roman" w:cs="Times New Roman"/>
        </w:rPr>
        <w:sectPr w:rsidR="00A9288A">
          <w:pgSz w:w="11906" w:h="16838"/>
          <w:pgMar w:top="1440" w:right="1134" w:bottom="1440" w:left="1134" w:header="851" w:footer="992" w:gutter="0"/>
          <w:cols w:space="720"/>
          <w:docGrid w:type="lines" w:linePitch="312"/>
        </w:sectPr>
      </w:pPr>
    </w:p>
    <w:p w:rsidR="00A9288A" w:rsidRDefault="007A4434">
      <w:pPr>
        <w:pStyle w:val="a6"/>
        <w:outlineLvl w:val="0"/>
        <w:rPr>
          <w:rFonts w:eastAsia="Times New Roman" w:cs="Times New Roman"/>
        </w:rPr>
      </w:pPr>
      <w:bookmarkStart w:id="7" w:name="_Toc521663258"/>
      <w:r>
        <w:rPr>
          <w:rFonts w:hint="eastAsia"/>
        </w:rPr>
        <w:lastRenderedPageBreak/>
        <w:t>第七节</w:t>
      </w:r>
      <w:r>
        <w:rPr>
          <w:rFonts w:cs="Times New Roman"/>
        </w:rPr>
        <w:t xml:space="preserve"> </w:t>
      </w:r>
      <w:r>
        <w:rPr>
          <w:rFonts w:hint="eastAsia"/>
        </w:rPr>
        <w:t>优先股相关情况</w:t>
      </w:r>
      <w:bookmarkEnd w:id="7"/>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报告期公司不存在优先股。</w:t>
      </w:r>
    </w:p>
    <w:p w:rsidR="00A9288A" w:rsidRDefault="00A9288A">
      <w:pPr>
        <w:jc w:val="left"/>
        <w:rPr>
          <w:rFonts w:eastAsia="Times New Roman" w:cs="Times New Roman"/>
        </w:rPr>
        <w:sectPr w:rsidR="00A9288A">
          <w:pgSz w:w="11906" w:h="16838"/>
          <w:pgMar w:top="1440" w:right="1134" w:bottom="1440" w:left="1134" w:header="851" w:footer="992" w:gutter="0"/>
          <w:cols w:space="720"/>
          <w:docGrid w:type="lines" w:linePitch="312"/>
        </w:sectPr>
      </w:pPr>
    </w:p>
    <w:p w:rsidR="00A9288A" w:rsidRDefault="007A4434">
      <w:pPr>
        <w:pStyle w:val="a6"/>
        <w:outlineLvl w:val="0"/>
        <w:rPr>
          <w:rFonts w:eastAsia="Times New Roman" w:cs="Times New Roman"/>
        </w:rPr>
      </w:pPr>
      <w:bookmarkStart w:id="8" w:name="_Toc521663259"/>
      <w:r>
        <w:rPr>
          <w:rFonts w:hint="eastAsia"/>
        </w:rPr>
        <w:lastRenderedPageBreak/>
        <w:t>第八节</w:t>
      </w:r>
      <w:r>
        <w:rPr>
          <w:rFonts w:cs="Times New Roman"/>
        </w:rPr>
        <w:t xml:space="preserve"> </w:t>
      </w:r>
      <w:r>
        <w:rPr>
          <w:rFonts w:hint="eastAsia"/>
        </w:rPr>
        <w:t>董事、监事、高级管理人员情况</w:t>
      </w:r>
      <w:bookmarkEnd w:id="8"/>
    </w:p>
    <w:p w:rsidR="00A9288A" w:rsidRDefault="007A4434">
      <w:pPr>
        <w:pStyle w:val="Chapter"/>
        <w:outlineLvl w:val="1"/>
        <w:rPr>
          <w:rFonts w:eastAsia="Times New Roman" w:cs="Times New Roman"/>
        </w:rPr>
      </w:pPr>
      <w:r>
        <w:rPr>
          <w:rFonts w:hint="eastAsia"/>
        </w:rPr>
        <w:t>一、董事、监事和高级管理人员持股变动</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right"/>
        <w:rPr>
          <w:rFonts w:eastAsia="Times New Roman" w:cs="Times New Roman"/>
        </w:rPr>
      </w:pPr>
      <w:r>
        <w:rPr>
          <w:rFonts w:hint="eastAsia"/>
        </w:rPr>
        <w:t>单位：股</w:t>
      </w:r>
    </w:p>
    <w:tbl>
      <w:tblPr>
        <w:tblW w:w="0" w:type="auto"/>
        <w:tblInd w:w="28" w:type="dxa"/>
        <w:tblLayout w:type="fixed"/>
        <w:tblCellMar>
          <w:left w:w="28" w:type="dxa"/>
          <w:right w:w="28" w:type="dxa"/>
        </w:tblCellMar>
        <w:tblLook w:val="0000" w:firstRow="0" w:lastRow="0" w:firstColumn="0" w:lastColumn="0" w:noHBand="0" w:noVBand="0"/>
      </w:tblPr>
      <w:tblGrid>
        <w:gridCol w:w="872"/>
        <w:gridCol w:w="872"/>
        <w:gridCol w:w="873"/>
        <w:gridCol w:w="872"/>
        <w:gridCol w:w="872"/>
        <w:gridCol w:w="872"/>
        <w:gridCol w:w="888"/>
        <w:gridCol w:w="1063"/>
        <w:gridCol w:w="1063"/>
        <w:gridCol w:w="1324"/>
      </w:tblGrid>
      <w:tr w:rsidR="00A9288A">
        <w:tc>
          <w:tcPr>
            <w:tcW w:w="87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姓名</w:t>
            </w:r>
          </w:p>
        </w:tc>
        <w:tc>
          <w:tcPr>
            <w:tcW w:w="87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职务</w:t>
            </w:r>
          </w:p>
        </w:tc>
        <w:tc>
          <w:tcPr>
            <w:tcW w:w="87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任职状态</w:t>
            </w:r>
          </w:p>
        </w:tc>
        <w:tc>
          <w:tcPr>
            <w:tcW w:w="87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期初持股数（股）</w:t>
            </w:r>
          </w:p>
        </w:tc>
        <w:tc>
          <w:tcPr>
            <w:tcW w:w="87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本期增持股份数量（股）</w:t>
            </w:r>
          </w:p>
        </w:tc>
        <w:tc>
          <w:tcPr>
            <w:tcW w:w="87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本期减持股份数量（股）</w:t>
            </w:r>
          </w:p>
        </w:tc>
        <w:tc>
          <w:tcPr>
            <w:tcW w:w="88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期末持股数（股）</w:t>
            </w:r>
          </w:p>
        </w:tc>
        <w:tc>
          <w:tcPr>
            <w:tcW w:w="106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期初被授予的限制性股票数量（股）</w:t>
            </w:r>
          </w:p>
        </w:tc>
        <w:tc>
          <w:tcPr>
            <w:tcW w:w="106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本期被授予的限制性股票数量（股）</w:t>
            </w:r>
          </w:p>
        </w:tc>
        <w:tc>
          <w:tcPr>
            <w:tcW w:w="132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期末被授予的限制性股票数量（股）</w:t>
            </w:r>
          </w:p>
        </w:tc>
      </w:tr>
      <w:tr w:rsidR="00A9288A">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申万秋</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董事长；总经理</w:t>
            </w:r>
          </w:p>
        </w:tc>
        <w:tc>
          <w:tcPr>
            <w:tcW w:w="87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现任</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78,203,191</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8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78,203,191</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r>
      <w:tr w:rsidR="00A9288A">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唐军武</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董事</w:t>
            </w:r>
          </w:p>
        </w:tc>
        <w:tc>
          <w:tcPr>
            <w:tcW w:w="87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现任</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8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r>
      <w:tr w:rsidR="00A9288A">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仓梓剑</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董事</w:t>
            </w:r>
          </w:p>
        </w:tc>
        <w:tc>
          <w:tcPr>
            <w:tcW w:w="87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现任</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8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r>
      <w:tr w:rsidR="00A9288A">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孙陶然</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独立董事</w:t>
            </w:r>
          </w:p>
        </w:tc>
        <w:tc>
          <w:tcPr>
            <w:tcW w:w="87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现任</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8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r>
      <w:tr w:rsidR="00A9288A">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李焰</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独立董事</w:t>
            </w:r>
          </w:p>
        </w:tc>
        <w:tc>
          <w:tcPr>
            <w:tcW w:w="87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现任</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8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r>
      <w:tr w:rsidR="00A9288A">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罗茁</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监事会主席</w:t>
            </w:r>
          </w:p>
        </w:tc>
        <w:tc>
          <w:tcPr>
            <w:tcW w:w="87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现任</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8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r>
      <w:tr w:rsidR="00A9288A">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刘建云</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监事</w:t>
            </w:r>
          </w:p>
        </w:tc>
        <w:tc>
          <w:tcPr>
            <w:tcW w:w="87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现任</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8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r>
      <w:tr w:rsidR="00A9288A">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陈冬冬</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职工监事</w:t>
            </w:r>
          </w:p>
        </w:tc>
        <w:tc>
          <w:tcPr>
            <w:tcW w:w="87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现任</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8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r>
      <w:tr w:rsidR="00A9288A">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柳丽华</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财务总监</w:t>
            </w:r>
          </w:p>
        </w:tc>
        <w:tc>
          <w:tcPr>
            <w:tcW w:w="87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现任</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8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r>
      <w:tr w:rsidR="00A9288A">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石桂华</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副总经理</w:t>
            </w:r>
          </w:p>
        </w:tc>
        <w:tc>
          <w:tcPr>
            <w:tcW w:w="87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现任</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8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r>
      <w:tr w:rsidR="00A9288A">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高晋占</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副总经理</w:t>
            </w:r>
          </w:p>
        </w:tc>
        <w:tc>
          <w:tcPr>
            <w:tcW w:w="87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离任</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8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r>
      <w:tr w:rsidR="00A9288A">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覃善兴</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副总经理</w:t>
            </w:r>
          </w:p>
        </w:tc>
        <w:tc>
          <w:tcPr>
            <w:tcW w:w="87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现任</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8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r>
      <w:tr w:rsidR="00A9288A">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姜楠</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董事会秘书</w:t>
            </w:r>
          </w:p>
        </w:tc>
        <w:tc>
          <w:tcPr>
            <w:tcW w:w="87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现任</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88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w:t>
            </w:r>
          </w:p>
        </w:tc>
      </w:tr>
      <w:tr w:rsidR="00A9288A">
        <w:tc>
          <w:tcPr>
            <w:tcW w:w="87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87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87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78,203,191</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7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88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78,203,191</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w:t>
            </w:r>
          </w:p>
        </w:tc>
      </w:tr>
    </w:tbl>
    <w:p w:rsidR="00A9288A" w:rsidRDefault="007A4434">
      <w:pPr>
        <w:pStyle w:val="Chapter"/>
        <w:outlineLvl w:val="1"/>
        <w:rPr>
          <w:rFonts w:eastAsia="Times New Roman" w:cs="Times New Roman"/>
        </w:rPr>
      </w:pPr>
      <w:r>
        <w:rPr>
          <w:rFonts w:hint="eastAsia"/>
        </w:rPr>
        <w:t>二、公司董事、监事、高级管理人员变动情况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tbl>
      <w:tblPr>
        <w:tblW w:w="0" w:type="auto"/>
        <w:tblInd w:w="28" w:type="dxa"/>
        <w:tblLayout w:type="fixed"/>
        <w:tblCellMar>
          <w:left w:w="28" w:type="dxa"/>
          <w:right w:w="28" w:type="dxa"/>
        </w:tblCellMar>
        <w:tblLook w:val="0000" w:firstRow="0" w:lastRow="0" w:firstColumn="0" w:lastColumn="0" w:noHBand="0" w:noVBand="0"/>
      </w:tblPr>
      <w:tblGrid>
        <w:gridCol w:w="1329"/>
        <w:gridCol w:w="1330"/>
        <w:gridCol w:w="1330"/>
        <w:gridCol w:w="1540"/>
        <w:gridCol w:w="4038"/>
      </w:tblGrid>
      <w:tr w:rsidR="00A9288A">
        <w:tc>
          <w:tcPr>
            <w:tcW w:w="132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姓名</w:t>
            </w:r>
          </w:p>
        </w:tc>
        <w:tc>
          <w:tcPr>
            <w:tcW w:w="133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担任的职务</w:t>
            </w:r>
          </w:p>
        </w:tc>
        <w:tc>
          <w:tcPr>
            <w:tcW w:w="133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类型</w:t>
            </w:r>
          </w:p>
        </w:tc>
        <w:tc>
          <w:tcPr>
            <w:tcW w:w="154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日期</w:t>
            </w:r>
          </w:p>
        </w:tc>
        <w:tc>
          <w:tcPr>
            <w:tcW w:w="403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原因</w:t>
            </w:r>
          </w:p>
        </w:tc>
      </w:tr>
      <w:tr w:rsidR="00A9288A">
        <w:tc>
          <w:tcPr>
            <w:tcW w:w="132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高晋占</w:t>
            </w:r>
          </w:p>
        </w:tc>
        <w:tc>
          <w:tcPr>
            <w:tcW w:w="133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副总经理</w:t>
            </w:r>
          </w:p>
        </w:tc>
        <w:tc>
          <w:tcPr>
            <w:tcW w:w="133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解聘</w:t>
            </w:r>
          </w:p>
        </w:tc>
        <w:tc>
          <w:tcPr>
            <w:tcW w:w="154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2018</w:t>
            </w:r>
            <w:r>
              <w:rPr>
                <w:rFonts w:hint="eastAsia"/>
              </w:rPr>
              <w:t>年</w:t>
            </w:r>
            <w:r>
              <w:rPr>
                <w:rFonts w:cs="Times New Roman"/>
              </w:rPr>
              <w:t>04</w:t>
            </w:r>
            <w:r>
              <w:rPr>
                <w:rFonts w:hint="eastAsia"/>
              </w:rPr>
              <w:t>月</w:t>
            </w:r>
            <w:r>
              <w:rPr>
                <w:rFonts w:cs="Times New Roman"/>
              </w:rPr>
              <w:t>25</w:t>
            </w:r>
            <w:r>
              <w:rPr>
                <w:rFonts w:hint="eastAsia"/>
              </w:rPr>
              <w:t>日</w:t>
            </w:r>
          </w:p>
        </w:tc>
        <w:tc>
          <w:tcPr>
            <w:tcW w:w="403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个人原因辞职</w:t>
            </w:r>
          </w:p>
        </w:tc>
      </w:tr>
    </w:tbl>
    <w:p w:rsidR="00A9288A" w:rsidRDefault="00A9288A">
      <w:pPr>
        <w:rPr>
          <w:rFonts w:eastAsia="Times New Roman" w:cs="Times New Roman"/>
        </w:rPr>
        <w:sectPr w:rsidR="00A9288A">
          <w:pgSz w:w="11906" w:h="16838"/>
          <w:pgMar w:top="1440" w:right="1134" w:bottom="1440" w:left="1134" w:header="851" w:footer="992" w:gutter="0"/>
          <w:cols w:space="720"/>
          <w:docGrid w:type="lines" w:linePitch="312"/>
        </w:sectPr>
      </w:pPr>
    </w:p>
    <w:p w:rsidR="00A9288A" w:rsidRDefault="007A4434">
      <w:pPr>
        <w:pStyle w:val="a6"/>
        <w:outlineLvl w:val="0"/>
        <w:rPr>
          <w:rFonts w:eastAsia="Times New Roman" w:cs="Times New Roman"/>
        </w:rPr>
      </w:pPr>
      <w:bookmarkStart w:id="9" w:name="_Toc521663260"/>
      <w:r>
        <w:rPr>
          <w:rFonts w:hint="eastAsia"/>
        </w:rPr>
        <w:lastRenderedPageBreak/>
        <w:t>第九节</w:t>
      </w:r>
      <w:r>
        <w:rPr>
          <w:rFonts w:cs="Times New Roman"/>
        </w:rPr>
        <w:t xml:space="preserve"> </w:t>
      </w:r>
      <w:r>
        <w:rPr>
          <w:rFonts w:hint="eastAsia"/>
        </w:rPr>
        <w:t>公司债相关情况</w:t>
      </w:r>
      <w:bookmarkEnd w:id="9"/>
    </w:p>
    <w:p w:rsidR="00A9288A" w:rsidRDefault="007A4434">
      <w:pPr>
        <w:jc w:val="left"/>
        <w:rPr>
          <w:rFonts w:eastAsia="Times New Roman" w:cs="Times New Roman"/>
        </w:rPr>
      </w:pPr>
      <w:r>
        <w:rPr>
          <w:rFonts w:hint="eastAsia"/>
        </w:rPr>
        <w:t>公司是否存在公开发行并在证券交易所上市，且在半年度报告批准报出日未到期或到期未能全额兑付的公司债券</w:t>
      </w:r>
    </w:p>
    <w:p w:rsidR="00A9288A" w:rsidRDefault="007A4434">
      <w:pPr>
        <w:jc w:val="left"/>
        <w:rPr>
          <w:rFonts w:eastAsia="Times New Roman" w:cs="Times New Roman"/>
        </w:rPr>
      </w:pPr>
      <w:r>
        <w:rPr>
          <w:rFonts w:hint="eastAsia"/>
        </w:rPr>
        <w:t>否</w:t>
      </w:r>
    </w:p>
    <w:p w:rsidR="00A9288A" w:rsidRDefault="00A9288A">
      <w:pPr>
        <w:jc w:val="left"/>
        <w:rPr>
          <w:rFonts w:eastAsia="Times New Roman" w:cs="Times New Roman"/>
        </w:rPr>
        <w:sectPr w:rsidR="00A9288A">
          <w:pgSz w:w="11906" w:h="16838"/>
          <w:pgMar w:top="1440" w:right="1134" w:bottom="1440" w:left="1134" w:header="851" w:footer="992" w:gutter="0"/>
          <w:cols w:space="720"/>
          <w:docGrid w:type="lines" w:linePitch="312"/>
        </w:sectPr>
      </w:pPr>
    </w:p>
    <w:p w:rsidR="00A9288A" w:rsidRDefault="007A4434">
      <w:pPr>
        <w:pStyle w:val="a6"/>
        <w:outlineLvl w:val="0"/>
        <w:rPr>
          <w:rFonts w:eastAsia="Times New Roman" w:cs="Times New Roman"/>
        </w:rPr>
      </w:pPr>
      <w:bookmarkStart w:id="10" w:name="_Toc521663261"/>
      <w:r>
        <w:rPr>
          <w:rFonts w:hint="eastAsia"/>
        </w:rPr>
        <w:lastRenderedPageBreak/>
        <w:t>第十节</w:t>
      </w:r>
      <w:r>
        <w:rPr>
          <w:rFonts w:cs="Times New Roman"/>
        </w:rPr>
        <w:t xml:space="preserve"> </w:t>
      </w:r>
      <w:r>
        <w:rPr>
          <w:rFonts w:hint="eastAsia"/>
        </w:rPr>
        <w:t>财务报告</w:t>
      </w:r>
      <w:bookmarkEnd w:id="10"/>
    </w:p>
    <w:p w:rsidR="00A9288A" w:rsidRDefault="007A4434">
      <w:pPr>
        <w:pStyle w:val="Chapter"/>
        <w:outlineLvl w:val="1"/>
        <w:rPr>
          <w:rFonts w:eastAsia="Times New Roman" w:cs="Times New Roman"/>
        </w:rPr>
      </w:pPr>
      <w:r>
        <w:rPr>
          <w:rFonts w:hint="eastAsia"/>
        </w:rPr>
        <w:t>一、审计报告</w:t>
      </w:r>
    </w:p>
    <w:p w:rsidR="00A9288A" w:rsidRDefault="007A4434">
      <w:pPr>
        <w:jc w:val="left"/>
        <w:rPr>
          <w:rFonts w:eastAsia="Times New Roman" w:cs="Times New Roman"/>
        </w:rPr>
      </w:pPr>
      <w:r>
        <w:rPr>
          <w:rFonts w:hint="eastAsia"/>
        </w:rPr>
        <w:t>半年度报告是否经过审计</w:t>
      </w:r>
    </w:p>
    <w:p w:rsidR="00A9288A" w:rsidRDefault="007A4434">
      <w:pPr>
        <w:jc w:val="left"/>
        <w:rPr>
          <w:rFonts w:cs="Times New Roman"/>
        </w:rPr>
      </w:pPr>
      <w:r>
        <w:rPr>
          <w:rFonts w:cs="Times New Roman"/>
        </w:rPr>
        <w:t xml:space="preserve">□ </w:t>
      </w:r>
      <w:r>
        <w:rPr>
          <w:rFonts w:hint="eastAsia"/>
        </w:rPr>
        <w:t>是</w:t>
      </w:r>
      <w:r>
        <w:rPr>
          <w:rFonts w:cs="Times New Roman"/>
        </w:rPr>
        <w:t xml:space="preserve"> √ </w:t>
      </w:r>
      <w:r>
        <w:rPr>
          <w:rFonts w:hint="eastAsia"/>
        </w:rPr>
        <w:t>否</w:t>
      </w:r>
      <w:r>
        <w:rPr>
          <w:rFonts w:cs="Times New Roman"/>
        </w:rPr>
        <w:t xml:space="preserve"> </w:t>
      </w:r>
    </w:p>
    <w:p w:rsidR="00A9288A" w:rsidRDefault="007A4434">
      <w:pPr>
        <w:jc w:val="left"/>
        <w:rPr>
          <w:rFonts w:eastAsia="Times New Roman" w:cs="Times New Roman"/>
        </w:rPr>
      </w:pPr>
      <w:r>
        <w:rPr>
          <w:rFonts w:hint="eastAsia"/>
        </w:rPr>
        <w:t>公司半年度财务报告未经审计。</w:t>
      </w:r>
    </w:p>
    <w:p w:rsidR="00A9288A" w:rsidRDefault="007A4434">
      <w:pPr>
        <w:pStyle w:val="Chapter"/>
        <w:outlineLvl w:val="1"/>
        <w:rPr>
          <w:rFonts w:eastAsia="Times New Roman" w:cs="Times New Roman"/>
        </w:rPr>
      </w:pPr>
      <w:r>
        <w:rPr>
          <w:rFonts w:hint="eastAsia"/>
        </w:rPr>
        <w:t>二、财务报表</w:t>
      </w:r>
    </w:p>
    <w:p w:rsidR="00A9288A" w:rsidRDefault="007A4434">
      <w:pPr>
        <w:jc w:val="left"/>
        <w:rPr>
          <w:rFonts w:eastAsia="Times New Roman" w:cs="Times New Roman"/>
        </w:rPr>
      </w:pPr>
      <w:r>
        <w:rPr>
          <w:rFonts w:hint="eastAsia"/>
        </w:rPr>
        <w:t>财务附注中报表的单位为：人民币元</w:t>
      </w:r>
    </w:p>
    <w:p w:rsidR="00A9288A" w:rsidRDefault="007A4434">
      <w:pPr>
        <w:pStyle w:val="Section"/>
        <w:outlineLvl w:val="2"/>
        <w:rPr>
          <w:rFonts w:eastAsia="Times New Roman" w:cs="Times New Roman"/>
        </w:rPr>
      </w:pPr>
      <w:r>
        <w:rPr>
          <w:rFonts w:cs="Times New Roman"/>
        </w:rPr>
        <w:t>1</w:t>
      </w:r>
      <w:r>
        <w:rPr>
          <w:rFonts w:hint="eastAsia"/>
        </w:rPr>
        <w:t>、合并资产负债表</w:t>
      </w:r>
    </w:p>
    <w:p w:rsidR="00A9288A" w:rsidRDefault="007A4434">
      <w:pPr>
        <w:jc w:val="left"/>
        <w:rPr>
          <w:rFonts w:eastAsia="Times New Roman" w:cs="Times New Roman"/>
        </w:rPr>
      </w:pPr>
      <w:r>
        <w:rPr>
          <w:rFonts w:hint="eastAsia"/>
        </w:rPr>
        <w:t>编制单位：北京海兰信数据科技股份有限公司</w:t>
      </w:r>
    </w:p>
    <w:p w:rsidR="00A9288A" w:rsidRDefault="007A4434">
      <w:pPr>
        <w:jc w:val="center"/>
        <w:rPr>
          <w:rFonts w:eastAsia="Times New Roman" w:cs="Times New Roman"/>
        </w:rPr>
      </w:pPr>
      <w:r>
        <w:rPr>
          <w:rFonts w:cs="Times New Roman"/>
        </w:rPr>
        <w:t>2018</w:t>
      </w:r>
      <w:r>
        <w:rPr>
          <w:rFonts w:hint="eastAsia"/>
        </w:rPr>
        <w:t>年</w:t>
      </w:r>
      <w:r>
        <w:rPr>
          <w:rFonts w:cs="Times New Roman"/>
        </w:rPr>
        <w:t>06</w:t>
      </w:r>
      <w:r>
        <w:rPr>
          <w:rFonts w:hint="eastAsia"/>
        </w:rPr>
        <w:t>月</w:t>
      </w:r>
      <w:r>
        <w:rPr>
          <w:rFonts w:cs="Times New Roman"/>
        </w:rPr>
        <w:t>30</w:t>
      </w:r>
      <w:r>
        <w:rPr>
          <w:rFonts w:hint="eastAsia"/>
        </w:rPr>
        <w:t>日</w:t>
      </w:r>
    </w:p>
    <w:p w:rsidR="00A9288A" w:rsidRDefault="007A4434">
      <w:pPr>
        <w:jc w:val="right"/>
        <w:rPr>
          <w:rFonts w:eastAsia="Times New Roman" w:cs="Times New Roman"/>
        </w:rPr>
      </w:pPr>
      <w:r>
        <w:rPr>
          <w:rFonts w:hint="eastAsia"/>
        </w:rPr>
        <w:t>单位：元</w:t>
      </w:r>
    </w:p>
    <w:tbl>
      <w:tblPr>
        <w:tblW w:w="0" w:type="auto"/>
        <w:tblInd w:w="28" w:type="dxa"/>
        <w:tblLayout w:type="fixed"/>
        <w:tblCellMar>
          <w:left w:w="28" w:type="dxa"/>
          <w:right w:w="28" w:type="dxa"/>
        </w:tblCellMar>
        <w:tblLook w:val="0000" w:firstRow="0" w:lastRow="0" w:firstColumn="0" w:lastColumn="0" w:noHBand="0" w:noVBand="0"/>
      </w:tblPr>
      <w:tblGrid>
        <w:gridCol w:w="2967"/>
        <w:gridCol w:w="3300"/>
        <w:gridCol w:w="3301"/>
      </w:tblGrid>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3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流动资产：</w:t>
            </w:r>
          </w:p>
        </w:tc>
        <w:tc>
          <w:tcPr>
            <w:tcW w:w="33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货币资金</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816,233,517.42</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823,184,071.06</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结算备付金</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拆出资金</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以公允价值计量且其变动计入当期损益的金融资产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衍生金融资产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应收票据</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49,625,376.94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42,186,750.00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应收账款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374,874,857.63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363,554,187.49</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预付款项</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44,204,890.00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25,098,633.12</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应收保费</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应收分保账款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应收分保合同准备金</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应收利息</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应收股利</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其他应收款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26,313,281.80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24,330,208.40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买入返售金融资产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存货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183,046,508.47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166,502,718.59</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lastRenderedPageBreak/>
              <w:t xml:space="preserve">　　持有待售的资产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一年内到期的非流动资产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其他流动资产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42,687,071.64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80,260,857.07</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流动资产合计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1,536,985,503.90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1,525,117,425.73</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非流动资产：</w:t>
            </w:r>
          </w:p>
        </w:tc>
        <w:tc>
          <w:tcPr>
            <w:tcW w:w="33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发放贷款及垫款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可供出售金融资产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10,000,000.00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10,000,000.00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持有至到期投资</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长期应收款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长期股权投资</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70,038,930.43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72,830,088.41</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投资性房地产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固定资产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67,620,791.51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70,305,655.09</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在建工程</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136,039.23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136,039.23</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工程物资</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固定资产清理</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生产性生物资产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油气资产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无形资产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234,654,801.60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203,158,283.57</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开发支出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13,426,017.56</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3,136,169.77</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商誉</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301,906,895.67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301,906,895.67</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长期待摊费用</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771,189.01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986,996.68</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递延所得税资产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9,566,577.85</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9,240,172.87</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其他非流动资产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6,114,332.30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15,787,779.94</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非流动资产合计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714,235,575.16</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687,488,081.23</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资产总计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2,251,221,079.06</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2,212,605,506.96</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流动负债：</w:t>
            </w:r>
          </w:p>
        </w:tc>
        <w:tc>
          <w:tcPr>
            <w:tcW w:w="33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短期借款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153,327,000.00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181,114,460.97</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向中央银行借款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吸收存款及同业存放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拆入资金</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以公允价值计量且其变动计入当期损益的金融负债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衍生金融负债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应付票据</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68,000,000.00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lastRenderedPageBreak/>
              <w:t xml:space="preserve">　　应付账款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149,551,785.21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106,619,789.99</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预收款项</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57,046,204.40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61,186,528.51</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卖出回购金融资产款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应付手续费及佣金</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应付职工薪酬</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4,222,888.71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4,935,091.86</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应交税费</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16,382,739.04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28,142,784.54</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应付利息</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218,509.59</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75,693.15</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应付股利</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其他应付款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6,852,407.19</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23,916,387.13</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应付分保账款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保险合同准备金</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代理买卖证券款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代理承销证券款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持有待售的负债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一年内到期的非流动负债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其他流动负债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695,521.35</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709,229.07</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流动负债合计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456,297,055.49</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406,699,965.22</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非流动负债：</w:t>
            </w:r>
          </w:p>
        </w:tc>
        <w:tc>
          <w:tcPr>
            <w:tcW w:w="33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长期借款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25,147,724.40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25,634,830.00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应付债券</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其中：优先股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永续债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长期应付款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长期应付职工薪酬</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专项应付款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预计负债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17,400,527.34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16,465,026.22</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递延收益</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22,780,744.13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26,031,008.61</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递延所得税负债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5,642,478.41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1,187,711.40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其他非流动负债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23,862,612.81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24,450,075.00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非流动负债合计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94,834,087.09</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93,768,651.23</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负债合计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551,131,142.58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500,468,616.45</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所有者权益：</w:t>
            </w:r>
          </w:p>
        </w:tc>
        <w:tc>
          <w:tcPr>
            <w:tcW w:w="33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股本</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362,340,972.00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362,340,972.00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其他权益工具</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lastRenderedPageBreak/>
              <w:t xml:space="preserve">　　　其中：优先股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永续债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资本公积</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554,493,632.32</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554,493,632.32</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减：库存股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71,990,167.15</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其他综合收益</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2,863,916.28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2,490,526.01</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专项储备</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盈余公积</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23,298,216.75</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23,298,216.75</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一般风险准备</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未分配利润</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327,544,937.37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278,883,879.11</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归属于母公司所有者权益合计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1,198,551,507.57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1,221,507,226.19</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少数股东权益</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501,538,428.91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490,629,664.32</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所有者权益合计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1,700,089,936.48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1,712,136,890.51</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负债和所有者权益总计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2,251,221,079.06</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2,212,605,506.96</w:t>
            </w:r>
          </w:p>
        </w:tc>
      </w:tr>
    </w:tbl>
    <w:p w:rsidR="00A9288A" w:rsidRDefault="007A4434">
      <w:pPr>
        <w:spacing w:before="300"/>
        <w:rPr>
          <w:rFonts w:eastAsia="Times New Roman" w:cs="Times New Roman"/>
        </w:rPr>
      </w:pPr>
      <w:r>
        <w:rPr>
          <w:rFonts w:hint="eastAsia"/>
        </w:rPr>
        <w:t>法定代表人：申万秋</w:t>
      </w:r>
      <w:r>
        <w:rPr>
          <w:rFonts w:cs="Times New Roman"/>
        </w:rPr>
        <w:t xml:space="preserve">                    </w:t>
      </w:r>
      <w:r>
        <w:rPr>
          <w:rFonts w:hint="eastAsia"/>
        </w:rPr>
        <w:t>主管会计工作负责人：柳丽华</w:t>
      </w:r>
      <w:r>
        <w:rPr>
          <w:rFonts w:cs="Times New Roman"/>
        </w:rPr>
        <w:t xml:space="preserve">                    </w:t>
      </w:r>
      <w:r>
        <w:rPr>
          <w:rFonts w:hint="eastAsia"/>
        </w:rPr>
        <w:t>会计机构负责人：柳丽华</w:t>
      </w:r>
    </w:p>
    <w:p w:rsidR="00A9288A" w:rsidRDefault="007A4434">
      <w:pPr>
        <w:pStyle w:val="Section"/>
        <w:outlineLvl w:val="2"/>
        <w:rPr>
          <w:rFonts w:eastAsia="Times New Roman" w:cs="Times New Roman"/>
        </w:rPr>
      </w:pPr>
      <w:r>
        <w:rPr>
          <w:rFonts w:cs="Times New Roman"/>
        </w:rPr>
        <w:t>2</w:t>
      </w:r>
      <w:r>
        <w:rPr>
          <w:rFonts w:hint="eastAsia"/>
        </w:rPr>
        <w:t>、母公司资产负债表</w:t>
      </w:r>
    </w:p>
    <w:p w:rsidR="00A9288A" w:rsidRDefault="007A4434">
      <w:pPr>
        <w:jc w:val="right"/>
        <w:rPr>
          <w:rFonts w:eastAsia="Times New Roman" w:cs="Times New Roman"/>
        </w:rPr>
      </w:pPr>
      <w:r>
        <w:rPr>
          <w:rFonts w:hint="eastAsia"/>
        </w:rPr>
        <w:t>单位：元</w:t>
      </w:r>
    </w:p>
    <w:tbl>
      <w:tblPr>
        <w:tblW w:w="0" w:type="auto"/>
        <w:tblInd w:w="28" w:type="dxa"/>
        <w:tblLayout w:type="fixed"/>
        <w:tblCellMar>
          <w:left w:w="28" w:type="dxa"/>
          <w:right w:w="28" w:type="dxa"/>
        </w:tblCellMar>
        <w:tblLook w:val="0000" w:firstRow="0" w:lastRow="0" w:firstColumn="0" w:lastColumn="0" w:noHBand="0" w:noVBand="0"/>
      </w:tblPr>
      <w:tblGrid>
        <w:gridCol w:w="2967"/>
        <w:gridCol w:w="3300"/>
        <w:gridCol w:w="3301"/>
      </w:tblGrid>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3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流动资产：</w:t>
            </w:r>
          </w:p>
        </w:tc>
        <w:tc>
          <w:tcPr>
            <w:tcW w:w="33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货币资金</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49,317,152.43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65,299,721.09</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以公允价值计量且其变动计入当期损益的金融资产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衍生金融资产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应收票据</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38,495,376.94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35,231,100.00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应收账款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190,998,745.57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170,477,583.18</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预付款项</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6,167,252.26</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4,949,469.53</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应收利息</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应收股利</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其他应收款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31,937,922.13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33,737,148.57</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存货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71,051,918.66</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66,104,399.32</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持有待售的资产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一年内到期的非流动资产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其他流动资产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2,751,366.87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21,420,711.54</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流动资产合计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390,719,734.86</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397,220,133.23</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lastRenderedPageBreak/>
              <w:t>非流动资产：</w:t>
            </w:r>
          </w:p>
        </w:tc>
        <w:tc>
          <w:tcPr>
            <w:tcW w:w="33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可供出售金融资产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10,000,000.00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10,000,000.00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持有至到期投资</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长期应收款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长期股权投资</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905,073,895.37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890,102,147.97</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投资性房地产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固定资产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38,615,223.54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40,123,213.79</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在建工程</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工程物资</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固定资产清理</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生产性生物资产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油气资产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无形资产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63,328,459.67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56,993,357.09</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开发支出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10,448,281.91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631,180.78</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商誉</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长期待摊费用</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递延所得税资产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3,446,560.71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3,297,086.24</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其他非流动资产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1,350,000.00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非流动资产合计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1,030,912,421.20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1,002,496,985.87</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资产总计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1,421,632,156.06</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1,399,717,119.10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流动负债：</w:t>
            </w:r>
          </w:p>
        </w:tc>
        <w:tc>
          <w:tcPr>
            <w:tcW w:w="33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短期借款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以公允价值计量且其变动计入当期损益的金融负债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衍生金融负债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应付票据</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68,000,000.00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应付账款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73,757,627.48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73,326,589.09</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预收款项</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4,782,534.21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6,758,920.17</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应付职工薪酬</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2,673,538.60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1,556,015.55</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应交税费</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3,362,675.74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2,582,031.37</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应付利息</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应付股利</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其他应付款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89,355,708.64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80,234,758.13</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持有待售的负债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lastRenderedPageBreak/>
              <w:t xml:space="preserve">　　一年内到期的非流动负债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其他流动负债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流动负债合计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241,932,084.67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164,458,314.31</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非流动负债：</w:t>
            </w:r>
          </w:p>
        </w:tc>
        <w:tc>
          <w:tcPr>
            <w:tcW w:w="33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长期借款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应付债券</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其中：优先股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永续债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长期应付款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长期应付职工薪酬</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专项应付款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预计负债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递延收益</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14,759,119.13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19,224,008.61</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递延所得税负债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1,328,622.93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1,187,711.40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其他非流动负债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非流动负债合计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16,087,742.06</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20,411,720.01</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负债合计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258,019,826.73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184,870,034.32</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所有者权益：</w:t>
            </w:r>
          </w:p>
        </w:tc>
        <w:tc>
          <w:tcPr>
            <w:tcW w:w="33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股本</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362,340,972.00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362,340,972.00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其他权益工具</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其中：优先股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永续债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资本公积</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686,602,367.12</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686,602,367.12</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减：库存股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71,990,167.15</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其他综合收益</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专项储备</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eastAsia="Times New Roman" w:cs="Times New Roman"/>
              </w:rPr>
            </w:pPr>
            <w:r>
              <w:rPr>
                <w:rFonts w:eastAsia="Times New Roman" w:cs="Times New Roman"/>
              </w:rPr>
              <w:t>0.00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盈余公积</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23,176,596.17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23,176,596.17</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未分配利润</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163,482,561.19</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142,727,149.49</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所有者权益合计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1,163,612,329.33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1,214,847,084.78</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负债和所有者权益总计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1,421,632,156.06</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1,399,717,119.10</w:t>
            </w:r>
          </w:p>
        </w:tc>
      </w:tr>
    </w:tbl>
    <w:p w:rsidR="00A9288A" w:rsidRDefault="007A4434">
      <w:pPr>
        <w:pStyle w:val="Section"/>
        <w:outlineLvl w:val="2"/>
        <w:rPr>
          <w:rFonts w:eastAsia="Times New Roman" w:cs="Times New Roman"/>
        </w:rPr>
      </w:pPr>
      <w:r>
        <w:rPr>
          <w:rFonts w:cs="Times New Roman"/>
        </w:rPr>
        <w:t>3</w:t>
      </w:r>
      <w:r>
        <w:rPr>
          <w:rFonts w:hint="eastAsia"/>
        </w:rPr>
        <w:t>、合并利润表</w:t>
      </w:r>
    </w:p>
    <w:p w:rsidR="00A9288A" w:rsidRDefault="007A4434">
      <w:pPr>
        <w:jc w:val="right"/>
        <w:rPr>
          <w:rFonts w:eastAsia="Times New Roman" w:cs="Times New Roman"/>
        </w:rPr>
      </w:pPr>
      <w:r>
        <w:rPr>
          <w:rFonts w:hint="eastAsia"/>
        </w:rPr>
        <w:t>单位：元</w:t>
      </w:r>
    </w:p>
    <w:tbl>
      <w:tblPr>
        <w:tblW w:w="0" w:type="auto"/>
        <w:tblInd w:w="28" w:type="dxa"/>
        <w:tblLayout w:type="fixed"/>
        <w:tblCellMar>
          <w:left w:w="28" w:type="dxa"/>
          <w:right w:w="28" w:type="dxa"/>
        </w:tblCellMar>
        <w:tblLook w:val="0000" w:firstRow="0" w:lastRow="0" w:firstColumn="0" w:lastColumn="0" w:noHBand="0" w:noVBand="0"/>
      </w:tblPr>
      <w:tblGrid>
        <w:gridCol w:w="3080"/>
        <w:gridCol w:w="3210"/>
        <w:gridCol w:w="3277"/>
      </w:tblGrid>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21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c>
          <w:tcPr>
            <w:tcW w:w="327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上期发生额</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lastRenderedPageBreak/>
              <w:t>一、营业总收入</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318,531,866.77</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318,854,464.01</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其中：营业收入</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318,531,866.77</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318,854,464.01</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利息收入</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已赚保费</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手续费及佣金收入</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二、营业总成本</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254,156,283.32</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260,063,242.41</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其中：营业成本</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189,327,815.90</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170,332,738.29</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利息支出</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手续费及佣金支出</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退保金</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赔付支出净额</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提取保险合同准备金净额</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保单红利支出</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分保费用</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税金及附加</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1,807,847.07</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1,345,717.69</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销售费用</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29,556,080.46</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36,914,550.58</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管理费用</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45,147,126.92</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47,156,563.53</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财务费用</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-8,276,771.61</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2,556,597.83</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资产减值损失</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-3,405,815.42</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1,757,074.49</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加：公允价值变动收益（损失以</w:t>
            </w:r>
            <w:r>
              <w:rPr>
                <w:rFonts w:cs="Times New Roman"/>
              </w:rPr>
              <w:t>“</w:t>
            </w:r>
            <w:r>
              <w:rPr>
                <w:rFonts w:hint="eastAsia"/>
              </w:rPr>
              <w:t>－</w:t>
            </w:r>
            <w:r>
              <w:rPr>
                <w:rFonts w:cs="Times New Roman"/>
              </w:rPr>
              <w:t>”</w:t>
            </w:r>
            <w:r>
              <w:rPr>
                <w:rFonts w:hint="eastAsia"/>
              </w:rPr>
              <w:t>号填列）</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投资收益（损失以</w:t>
            </w:r>
            <w:r>
              <w:rPr>
                <w:rFonts w:cs="Times New Roman"/>
              </w:rPr>
              <w:t>“</w:t>
            </w:r>
            <w:r>
              <w:rPr>
                <w:rFonts w:hint="eastAsia"/>
              </w:rPr>
              <w:t>－</w:t>
            </w:r>
            <w:r>
              <w:rPr>
                <w:rFonts w:cs="Times New Roman"/>
              </w:rPr>
              <w:t>”</w:t>
            </w:r>
            <w:r>
              <w:rPr>
                <w:rFonts w:hint="eastAsia"/>
              </w:rPr>
              <w:t>号填列）</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-1,683,853.93</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1,912,545.54</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其中：对联营企业和合营企业的投资收益</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-2,455,324.52</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-2,340,257.61</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汇兑收益（损失以</w:t>
            </w:r>
            <w:r>
              <w:rPr>
                <w:rFonts w:cs="Times New Roman"/>
              </w:rPr>
              <w:t>“-”</w:t>
            </w:r>
            <w:r>
              <w:rPr>
                <w:rFonts w:hint="eastAsia"/>
              </w:rPr>
              <w:t>号填列）</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资产处置收益（损失以</w:t>
            </w:r>
            <w:r>
              <w:rPr>
                <w:rFonts w:cs="Times New Roman"/>
              </w:rPr>
              <w:t>“-”</w:t>
            </w:r>
            <w:r>
              <w:rPr>
                <w:rFonts w:hint="eastAsia"/>
              </w:rPr>
              <w:t>号填列）</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312,522.81</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其他收益</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19,541,058.35</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5,450,499.11</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三、营业利润（亏损以</w:t>
            </w:r>
            <w:r>
              <w:rPr>
                <w:rFonts w:cs="Times New Roman"/>
              </w:rPr>
              <w:t>“</w:t>
            </w:r>
            <w:r>
              <w:rPr>
                <w:rFonts w:hint="eastAsia"/>
              </w:rPr>
              <w:t>－</w:t>
            </w:r>
            <w:r>
              <w:rPr>
                <w:rFonts w:cs="Times New Roman"/>
              </w:rPr>
              <w:t>”</w:t>
            </w:r>
            <w:r>
              <w:rPr>
                <w:rFonts w:hint="eastAsia"/>
              </w:rPr>
              <w:t>号填列）</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82,545,310.68</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66,154,266.25</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加：营业外收入</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501,411.83</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12,686,183.00</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减：营业外支出</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183,836.79</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353,372.45</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四、利润总额（亏损总额以</w:t>
            </w:r>
            <w:r>
              <w:rPr>
                <w:rFonts w:cs="Times New Roman"/>
              </w:rPr>
              <w:t>“</w:t>
            </w:r>
            <w:r>
              <w:rPr>
                <w:rFonts w:hint="eastAsia"/>
              </w:rPr>
              <w:t>－</w:t>
            </w:r>
            <w:r>
              <w:rPr>
                <w:rFonts w:cs="Times New Roman"/>
              </w:rPr>
              <w:t>”</w:t>
            </w:r>
            <w:r>
              <w:rPr>
                <w:rFonts w:hint="eastAsia"/>
              </w:rPr>
              <w:t>号填列）</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82,862,885.72</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78,487,076.80</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减：所得税费用</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11,738,702.67</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12,524,652.90</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五、净利润（净亏损以</w:t>
            </w:r>
            <w:r>
              <w:rPr>
                <w:rFonts w:cs="Times New Roman"/>
              </w:rPr>
              <w:t>“</w:t>
            </w:r>
            <w:r>
              <w:rPr>
                <w:rFonts w:hint="eastAsia"/>
              </w:rPr>
              <w:t>－</w:t>
            </w:r>
            <w:r>
              <w:rPr>
                <w:rFonts w:cs="Times New Roman"/>
              </w:rPr>
              <w:t>”</w:t>
            </w:r>
            <w:r>
              <w:rPr>
                <w:rFonts w:hint="eastAsia"/>
              </w:rPr>
              <w:t>号填列）</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71,124,183.05</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65,962,423.90</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lastRenderedPageBreak/>
              <w:t xml:space="preserve">　　（一）持续经营净利润（净亏损以</w:t>
            </w:r>
            <w:r>
              <w:rPr>
                <w:rFonts w:cs="Times New Roman"/>
              </w:rPr>
              <w:t>“</w:t>
            </w:r>
            <w:r>
              <w:rPr>
                <w:rFonts w:hint="eastAsia"/>
              </w:rPr>
              <w:t>－</w:t>
            </w:r>
            <w:r>
              <w:rPr>
                <w:rFonts w:cs="Times New Roman"/>
              </w:rPr>
              <w:t>”</w:t>
            </w:r>
            <w:r>
              <w:rPr>
                <w:rFonts w:hint="eastAsia"/>
              </w:rPr>
              <w:t>号填列）</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71,124,183.05</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65,962,423.90</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（二）终止经营净利润（净亏损以</w:t>
            </w:r>
            <w:r>
              <w:rPr>
                <w:rFonts w:cs="Times New Roman"/>
              </w:rPr>
              <w:t>“</w:t>
            </w:r>
            <w:r>
              <w:rPr>
                <w:rFonts w:hint="eastAsia"/>
              </w:rPr>
              <w:t>－</w:t>
            </w:r>
            <w:r>
              <w:rPr>
                <w:rFonts w:cs="Times New Roman"/>
              </w:rPr>
              <w:t>”</w:t>
            </w:r>
            <w:r>
              <w:rPr>
                <w:rFonts w:hint="eastAsia"/>
              </w:rPr>
              <w:t>号填列）</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归属于母公司所有者的净利润</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59,531,272.15</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48,203,041.03</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少数股东损益</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11,592,910.90</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17,759,382.87</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六、其他综合收益的税后净额</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-310,756.04</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-811,179.74</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归属母公司所有者的其他综合收益的税后净额</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373,390.27</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-514,069.65</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（一）以后不能重分类进损益的其他综合收益</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1.</w:t>
            </w:r>
            <w:r>
              <w:rPr>
                <w:rFonts w:hint="eastAsia"/>
              </w:rPr>
              <w:t>重新计量设定受益计划净负债或净资产的变动</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2.</w:t>
            </w:r>
            <w:r>
              <w:rPr>
                <w:rFonts w:hint="eastAsia"/>
              </w:rPr>
              <w:t>权益法下在被投资单位不能重分类进损益的其他综合收益中享有的份额</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（二）以后将重分类进损益的其他综合收益</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373,390.27</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-514,069.65</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1.</w:t>
            </w:r>
            <w:r>
              <w:rPr>
                <w:rFonts w:hint="eastAsia"/>
              </w:rPr>
              <w:t>权益法下在被投资单位以后将重分类进损益的其他综合收益中享有的份额</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2.</w:t>
            </w:r>
            <w:r>
              <w:rPr>
                <w:rFonts w:hint="eastAsia"/>
              </w:rPr>
              <w:t>可供出售金融资产公允价值变动损益</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3.</w:t>
            </w:r>
            <w:r>
              <w:rPr>
                <w:rFonts w:hint="eastAsia"/>
              </w:rPr>
              <w:t>持有至到期投资重分类为可供出售金融资产损益</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4.</w:t>
            </w:r>
            <w:r>
              <w:rPr>
                <w:rFonts w:hint="eastAsia"/>
              </w:rPr>
              <w:t>现金流量套期损益的有效部分</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5.</w:t>
            </w:r>
            <w:r>
              <w:rPr>
                <w:rFonts w:hint="eastAsia"/>
              </w:rPr>
              <w:t>外币财务报表折算差额</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373,390.27</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-514,069.65</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6.</w:t>
            </w:r>
            <w:r>
              <w:rPr>
                <w:rFonts w:hint="eastAsia"/>
              </w:rPr>
              <w:t>其他</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归属于少数股东的其他综合收益的税后净额</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-684,146.31</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-297,110.09</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七、综合收益总额</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70,813,427.01</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65,151,244.16</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归属于母公司所有者的综合收益总额</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59,904,662.42</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47,688,971.38</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归属于少数股东的综合收益总额</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10,908,764.59</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17,462,272.78</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八、每股收益：</w:t>
            </w:r>
          </w:p>
        </w:tc>
        <w:tc>
          <w:tcPr>
            <w:tcW w:w="321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c>
          <w:tcPr>
            <w:tcW w:w="327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（一）基本每股收益</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0.1645</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0.1330</w:t>
            </w:r>
          </w:p>
        </w:tc>
      </w:tr>
      <w:tr w:rsidR="00A9288A">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（二）稀释每股收益</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0.1645</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0.1330</w:t>
            </w:r>
          </w:p>
        </w:tc>
      </w:tr>
    </w:tbl>
    <w:p w:rsidR="00A9288A" w:rsidRDefault="007A4434">
      <w:pPr>
        <w:pStyle w:val="Section"/>
        <w:outlineLvl w:val="2"/>
        <w:rPr>
          <w:rFonts w:eastAsia="Times New Roman" w:cs="Times New Roman"/>
        </w:rPr>
      </w:pPr>
      <w:r>
        <w:rPr>
          <w:rFonts w:cs="Times New Roman"/>
        </w:rPr>
        <w:lastRenderedPageBreak/>
        <w:t>4</w:t>
      </w:r>
      <w:r>
        <w:rPr>
          <w:rFonts w:hint="eastAsia"/>
        </w:rPr>
        <w:t>、母公司利润表</w:t>
      </w:r>
    </w:p>
    <w:p w:rsidR="00A9288A" w:rsidRDefault="007A4434">
      <w:pPr>
        <w:jc w:val="right"/>
        <w:rPr>
          <w:rFonts w:eastAsia="Times New Roman" w:cs="Times New Roman"/>
        </w:rPr>
      </w:pPr>
      <w:r>
        <w:rPr>
          <w:rFonts w:hint="eastAsia"/>
        </w:rPr>
        <w:t>单位：元</w:t>
      </w:r>
    </w:p>
    <w:tbl>
      <w:tblPr>
        <w:tblW w:w="0" w:type="auto"/>
        <w:tblInd w:w="28" w:type="dxa"/>
        <w:tblLayout w:type="fixed"/>
        <w:tblCellMar>
          <w:left w:w="28" w:type="dxa"/>
          <w:right w:w="28" w:type="dxa"/>
        </w:tblCellMar>
        <w:tblLook w:val="0000" w:firstRow="0" w:lastRow="0" w:firstColumn="0" w:lastColumn="0" w:noHBand="0" w:noVBand="0"/>
      </w:tblPr>
      <w:tblGrid>
        <w:gridCol w:w="2967"/>
        <w:gridCol w:w="3300"/>
        <w:gridCol w:w="3301"/>
      </w:tblGrid>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3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上期发生额</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一、营业收入</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84,467,688.82</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99,710,759.99</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减：营业成本</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36,985,049.22</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47,264,607.52</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税金及附加</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984,930.17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1,098,176.56</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销售费用</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8,751,967.15</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10,860,658.25</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管理费用</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18,419,739.78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18,459,110.83</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财务费用</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146,339.11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-336,497.30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资产减值损失</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-2,472,161.77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1,322,748.26</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加：公允价值变动收益（损失以</w:t>
            </w:r>
            <w:r>
              <w:rPr>
                <w:rFonts w:cs="Times New Roman"/>
              </w:rPr>
              <w:t>“</w:t>
            </w:r>
            <w:r>
              <w:rPr>
                <w:rFonts w:hint="eastAsia"/>
              </w:rPr>
              <w:t>－</w:t>
            </w:r>
            <w:r>
              <w:rPr>
                <w:rFonts w:cs="Times New Roman"/>
              </w:rPr>
              <w:t>”</w:t>
            </w:r>
            <w:r>
              <w:rPr>
                <w:rFonts w:hint="eastAsia"/>
              </w:rPr>
              <w:t>号填列）</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投资收益（损失以</w:t>
            </w:r>
            <w:r>
              <w:rPr>
                <w:rFonts w:cs="Times New Roman"/>
              </w:rPr>
              <w:t>“</w:t>
            </w:r>
            <w:r>
              <w:rPr>
                <w:rFonts w:hint="eastAsia"/>
              </w:rPr>
              <w:t>－</w:t>
            </w:r>
            <w:r>
              <w:rPr>
                <w:rFonts w:cs="Times New Roman"/>
              </w:rPr>
              <w:t>”</w:t>
            </w:r>
            <w:r>
              <w:rPr>
                <w:rFonts w:hint="eastAsia"/>
              </w:rPr>
              <w:t>号填列）</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-4,180,715.63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714,072.67</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其中：对联营企业和合营企业的投资收益</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-742,371.40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-415,274.30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资产处置收益（损失以</w:t>
            </w:r>
            <w:r>
              <w:rPr>
                <w:rFonts w:cs="Times New Roman"/>
              </w:rPr>
              <w:t>“-”</w:t>
            </w:r>
            <w:r>
              <w:rPr>
                <w:rFonts w:hint="eastAsia"/>
              </w:rPr>
              <w:t>号填列）</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其他收益</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17,331,168.27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5,053,949.98</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二、营业利润（亏损以</w:t>
            </w:r>
            <w:r>
              <w:rPr>
                <w:rFonts w:cs="Times New Roman"/>
              </w:rPr>
              <w:t>“</w:t>
            </w:r>
            <w:r>
              <w:rPr>
                <w:rFonts w:hint="eastAsia"/>
              </w:rPr>
              <w:t>－</w:t>
            </w:r>
            <w:r>
              <w:rPr>
                <w:rFonts w:cs="Times New Roman"/>
              </w:rPr>
              <w:t>”</w:t>
            </w:r>
            <w:r>
              <w:rPr>
                <w:rFonts w:hint="eastAsia"/>
              </w:rPr>
              <w:t>号填列）</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34,802,277.80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26,809,978.52</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加：营业外收入</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422,522.81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11,081,591.51</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减：营业外支出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134,821.53</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三、利润总额（亏损总额以</w:t>
            </w:r>
            <w:r>
              <w:rPr>
                <w:rFonts w:cs="Times New Roman"/>
              </w:rPr>
              <w:t>“</w:t>
            </w:r>
            <w:r>
              <w:rPr>
                <w:rFonts w:hint="eastAsia"/>
              </w:rPr>
              <w:t>－</w:t>
            </w:r>
            <w:r>
              <w:rPr>
                <w:rFonts w:cs="Times New Roman"/>
              </w:rPr>
              <w:t>”</w:t>
            </w:r>
            <w:r>
              <w:rPr>
                <w:rFonts w:hint="eastAsia"/>
              </w:rPr>
              <w:t>号填列）</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35,224,800.61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37,756,748.50</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减：所得税费用</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3,599,175.02</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5,955,718.39</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四、净利润（净亏损以</w:t>
            </w:r>
            <w:r>
              <w:rPr>
                <w:rFonts w:cs="Times New Roman"/>
              </w:rPr>
              <w:t>“</w:t>
            </w:r>
            <w:r>
              <w:rPr>
                <w:rFonts w:hint="eastAsia"/>
              </w:rPr>
              <w:t>－</w:t>
            </w:r>
            <w:r>
              <w:rPr>
                <w:rFonts w:cs="Times New Roman"/>
              </w:rPr>
              <w:t>”</w:t>
            </w:r>
            <w:r>
              <w:rPr>
                <w:rFonts w:hint="eastAsia"/>
              </w:rPr>
              <w:t>号填列）</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31,625,625.59</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31,801,030.11</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（一）持续经营净利润（净亏损以</w:t>
            </w:r>
            <w:r>
              <w:rPr>
                <w:rFonts w:cs="Times New Roman"/>
              </w:rPr>
              <w:t>“</w:t>
            </w:r>
            <w:r>
              <w:rPr>
                <w:rFonts w:hint="eastAsia"/>
              </w:rPr>
              <w:t>－</w:t>
            </w:r>
            <w:r>
              <w:rPr>
                <w:rFonts w:cs="Times New Roman"/>
              </w:rPr>
              <w:t>”</w:t>
            </w:r>
            <w:r>
              <w:rPr>
                <w:rFonts w:hint="eastAsia"/>
              </w:rPr>
              <w:t>号填列）</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31,625,625.59</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31,801,030.11</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（二）终止经营净利润（净亏损以</w:t>
            </w:r>
            <w:r>
              <w:rPr>
                <w:rFonts w:cs="Times New Roman"/>
              </w:rPr>
              <w:t>“</w:t>
            </w:r>
            <w:r>
              <w:rPr>
                <w:rFonts w:hint="eastAsia"/>
              </w:rPr>
              <w:t>－</w:t>
            </w:r>
            <w:r>
              <w:rPr>
                <w:rFonts w:cs="Times New Roman"/>
              </w:rPr>
              <w:t>”</w:t>
            </w:r>
            <w:r>
              <w:rPr>
                <w:rFonts w:hint="eastAsia"/>
              </w:rPr>
              <w:t>号填列）</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五、其他综合收益的税后净额</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（一）以后不能重分类进损益的其他综合收益</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1.</w:t>
            </w:r>
            <w:r>
              <w:rPr>
                <w:rFonts w:hint="eastAsia"/>
              </w:rPr>
              <w:t>重新计量设定受益计划净负债或净资产的变动</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2.</w:t>
            </w:r>
            <w:r>
              <w:rPr>
                <w:rFonts w:hint="eastAsia"/>
              </w:rPr>
              <w:t>权益法下在被投资单位</w:t>
            </w:r>
            <w:r>
              <w:rPr>
                <w:rFonts w:hint="eastAsia"/>
              </w:rPr>
              <w:lastRenderedPageBreak/>
              <w:t>不能重分类进损益的其他综合收益中享有的份额</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lastRenderedPageBreak/>
              <w:t xml:space="preserve">　　（二）以后将重分类进损益的其他综合收益</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1.</w:t>
            </w:r>
            <w:r>
              <w:rPr>
                <w:rFonts w:hint="eastAsia"/>
              </w:rPr>
              <w:t>权益法下在被投资单位以后将重分类进损益的其他综合收益中享有的份额</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2.</w:t>
            </w:r>
            <w:r>
              <w:rPr>
                <w:rFonts w:hint="eastAsia"/>
              </w:rPr>
              <w:t>可供出售金融资产公允价值变动损益</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3.</w:t>
            </w:r>
            <w:r>
              <w:rPr>
                <w:rFonts w:hint="eastAsia"/>
              </w:rPr>
              <w:t>持有至到期投资重分类为可供出售金融资产损益</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4.</w:t>
            </w:r>
            <w:r>
              <w:rPr>
                <w:rFonts w:hint="eastAsia"/>
              </w:rPr>
              <w:t>现金流量套期损益的有效部分</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5.</w:t>
            </w:r>
            <w:r>
              <w:rPr>
                <w:rFonts w:hint="eastAsia"/>
              </w:rPr>
              <w:t>外币财务报表折算差额</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6.</w:t>
            </w:r>
            <w:r>
              <w:rPr>
                <w:rFonts w:hint="eastAsia"/>
              </w:rPr>
              <w:t>其他</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六、综合收益总额</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31,625,625.59</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31,801,030.11</w:t>
            </w: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七、每股收益：</w:t>
            </w:r>
          </w:p>
        </w:tc>
        <w:tc>
          <w:tcPr>
            <w:tcW w:w="33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（一）基本每股收益</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（二）稀释每股收益</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bl>
    <w:p w:rsidR="00A9288A" w:rsidRDefault="007A4434">
      <w:pPr>
        <w:pStyle w:val="Section"/>
        <w:outlineLvl w:val="2"/>
        <w:rPr>
          <w:rFonts w:eastAsia="Times New Roman" w:cs="Times New Roman"/>
        </w:rPr>
      </w:pPr>
      <w:r>
        <w:rPr>
          <w:rFonts w:cs="Times New Roman"/>
        </w:rPr>
        <w:t>5</w:t>
      </w:r>
      <w:r>
        <w:rPr>
          <w:rFonts w:hint="eastAsia"/>
        </w:rPr>
        <w:t>、合并现金流量表</w:t>
      </w:r>
    </w:p>
    <w:p w:rsidR="00A9288A" w:rsidRDefault="007A4434">
      <w:pPr>
        <w:jc w:val="right"/>
        <w:rPr>
          <w:rFonts w:eastAsia="Times New Roman" w:cs="Times New Roman"/>
        </w:rPr>
      </w:pPr>
      <w:r>
        <w:rPr>
          <w:rFonts w:hint="eastAsia"/>
        </w:rPr>
        <w:t>单位：元</w:t>
      </w:r>
    </w:p>
    <w:tbl>
      <w:tblPr>
        <w:tblW w:w="0" w:type="auto"/>
        <w:tblInd w:w="28" w:type="dxa"/>
        <w:tblLayout w:type="fixed"/>
        <w:tblCellMar>
          <w:left w:w="28" w:type="dxa"/>
          <w:right w:w="28" w:type="dxa"/>
        </w:tblCellMar>
        <w:tblLook w:val="0000" w:firstRow="0" w:lastRow="0" w:firstColumn="0" w:lastColumn="0" w:noHBand="0" w:noVBand="0"/>
      </w:tblPr>
      <w:tblGrid>
        <w:gridCol w:w="2966"/>
        <w:gridCol w:w="3301"/>
        <w:gridCol w:w="3301"/>
      </w:tblGrid>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上期发生额</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一、经营活动产生的现金流量：</w:t>
            </w: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销售商品、提供劳务收到的现金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314,169,383.21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310,444,974.71</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客户存款和同业存放款项净增加额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向中央银行借款净增加额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向其他金融机构拆入资金净增加额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收到原保险合同保费取得的现金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收到再保险业务现金净额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保户储金及投资款净增加额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处置以公允价值计量且其变动计入当期损益的金融资产净增加额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收取利息、手续费及佣金的现金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lastRenderedPageBreak/>
              <w:t xml:space="preserve">　　拆入资金净增加额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回购业务资金净增加额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收到的税费返还</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4,845,023.45</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6,798,612.25</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收到其他与经营活动有关的现金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35,810,122.49</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17,106,597.19</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经营活动现金流入小计</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354,824,529.15</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334,350,184.15</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购买商品、接受劳务支付的现金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183,978,118.63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206,436,964.27</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客户贷款及垫款净增加额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存放中央银行和同业款项净增加额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支付原保险合同赔付款项的现金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支付利息、手续费及佣金的现金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支付保单红利的现金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支付给职工以及为职工支付的现金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39,448,586.14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37,404,246.17</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支付的各项税费</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32,656,384.85</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45,459,280.73</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支付其他与经营活动有关的现金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42,296,326.82</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77,040,730.86</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经营活动现金流出小计</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298,379,416.44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366,341,222.03</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经营活动产生的现金流量净额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56,445,112.71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-31,991,037.88</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二、投资活动产生的现金流量：</w:t>
            </w: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收回投资收到的现金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236,910,000.00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1,420,700,000.00</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取得投资收益收到的现金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739,972.62</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3,506,961.20</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处置固定资产、无形资产和其他长期资产收回的现金净额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463,100.00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处置子公司及其他营业单位收到的现金净额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6,600,000.00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收到其他与投资活动有关的现金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投资活动现金流入小计</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244,713,072.62</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1,424,206,961.20</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购建固定资产、无形资产和其他长期资产支付的现金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39,151,228.53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10,568,655.78</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投资支付的现金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197,130,123.43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CB1F5D">
            <w:pPr>
              <w:jc w:val="right"/>
              <w:rPr>
                <w:rFonts w:cs="Times New Roman"/>
              </w:rPr>
            </w:pPr>
            <w:r>
              <w:t>1,725,900,000.00</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质押贷款净增加额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取得子公司及其他营业单位支付的现金净额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9,750,000.00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CB1F5D" w:rsidP="00CB1F5D">
            <w:pPr>
              <w:jc w:val="right"/>
              <w:rPr>
                <w:rFonts w:cs="Times New Roman"/>
              </w:rPr>
            </w:pPr>
            <w:r>
              <w:rPr>
                <w:rFonts w:cs="Times New Roman"/>
              </w:rPr>
              <w:t>9,75</w:t>
            </w:r>
            <w:r w:rsidR="007A4434">
              <w:rPr>
                <w:rFonts w:cs="Times New Roman"/>
              </w:rPr>
              <w:t>0,000.00</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支付其他与投资活动有关的现金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投资活动现金流出小计</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246,031,351.96</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1,746,218,655.78</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投资活动产生的现金流量净额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-1,318,279.34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-322,011,694.58</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lastRenderedPageBreak/>
              <w:t>三、筹资活动产生的现金流量：</w:t>
            </w: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吸收投资收到的现金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646,000,000.00</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其中：子公司吸收少数股东投资收到的现金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取得借款收到的现金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75,982,666.67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发行债券收到的现金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收到其他与筹资活动有关的现金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20,000,000.00</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筹资活动现金流入小计</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75,982,666.67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666,000,000.00</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偿还债务支付的现金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49,932,391.92</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20,372,752.50</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分配股利、利润或偿付利息支付的现金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12,991,499.30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20,012,087.70</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其中：子公司支付给少数股东的股利、利润</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支付其他与筹资活动有关的现金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71,990,167.15</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筹资活动现金流出小计</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134,914,058.37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40,384,840.20</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筹资活动产生的现金流量净额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-58,931,391.70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625,615,159.80</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四、汇率变动对现金及现金等价物的影响</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1,888,740.62</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702,991.94</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五、现金及现金等价物净增加额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-1,915,817.71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272,315,419.28</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加：期初现金及现金等价物余额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647,096,797.08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269,326,278.85</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六、期末现金及现金等价物余额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645,180,979.37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541,641,698.13</w:t>
            </w:r>
          </w:p>
        </w:tc>
      </w:tr>
    </w:tbl>
    <w:p w:rsidR="00A9288A" w:rsidRDefault="007A4434">
      <w:pPr>
        <w:pStyle w:val="Section"/>
        <w:outlineLvl w:val="2"/>
        <w:rPr>
          <w:rFonts w:eastAsia="Times New Roman" w:cs="Times New Roman"/>
        </w:rPr>
      </w:pPr>
      <w:r>
        <w:rPr>
          <w:rFonts w:cs="Times New Roman"/>
        </w:rPr>
        <w:t>6</w:t>
      </w:r>
      <w:r>
        <w:rPr>
          <w:rFonts w:hint="eastAsia"/>
        </w:rPr>
        <w:t>、母公司现金流量表</w:t>
      </w:r>
    </w:p>
    <w:p w:rsidR="00A9288A" w:rsidRDefault="007A4434">
      <w:pPr>
        <w:jc w:val="right"/>
        <w:rPr>
          <w:rFonts w:eastAsia="Times New Roman" w:cs="Times New Roman"/>
        </w:rPr>
      </w:pPr>
      <w:r>
        <w:rPr>
          <w:rFonts w:hint="eastAsia"/>
        </w:rPr>
        <w:t>单位：元</w:t>
      </w:r>
    </w:p>
    <w:tbl>
      <w:tblPr>
        <w:tblW w:w="0" w:type="auto"/>
        <w:tblInd w:w="28" w:type="dxa"/>
        <w:tblLayout w:type="fixed"/>
        <w:tblCellMar>
          <w:left w:w="28" w:type="dxa"/>
          <w:right w:w="28" w:type="dxa"/>
        </w:tblCellMar>
        <w:tblLook w:val="0000" w:firstRow="0" w:lastRow="0" w:firstColumn="0" w:lastColumn="0" w:noHBand="0" w:noVBand="0"/>
      </w:tblPr>
      <w:tblGrid>
        <w:gridCol w:w="2966"/>
        <w:gridCol w:w="3301"/>
        <w:gridCol w:w="3301"/>
      </w:tblGrid>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上期发生额</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一、经营活动产生的现金流量：</w:t>
            </w: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销售商品、提供劳务收到的现金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68,303,626.16</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109,494,205.83</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收到的税费返还</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4,152,102.73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5,989,165.96</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收到其他与经营活动有关的现金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88,498,720.78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14,379,427.64</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经营活动现金流入小计</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160,954,449.67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129,862,799.43</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购买商品、接受劳务支付的现金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41,188,846.11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48,288,756.24</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支付给职工以及为职工支付的现金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14,621,328.64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16,430,524.83</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支付的各项税费</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10,726,014.91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15,398,784.75</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支付其他与经营活动有关的现金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10,938,659.64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17,338,250.88</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lastRenderedPageBreak/>
              <w:t>经营活动现金流出小计</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77,474,849.30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97,456,316.70</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经营活动产生的现金流量净额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83,479,600.37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32,406,482.73</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二、投资活动产生的现金流量：</w:t>
            </w: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收回投资收到的现金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71,015,283.80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204,900,000.00</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取得投资收益收到的现金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206,480.85</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657,323.97</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处置固定资产、无形资产和其他长期资产收回的现金净额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463,100.00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处置子公司及其他营业单位收到的现金净额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6,600,000.00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收到其他与投资活动有关的现金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投资活动现金流入小计</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78,284,864.65</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205,557,323.97</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购建固定资产、无形资产和其他长期资产支付的现金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21,255,364.10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5,659,929.54</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投资支付的现金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70,678,238.96</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202,000,000.00</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取得子公司及其他营业单位支付的现金净额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支付其他与投资活动有关的现金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投资活动现金流出小计</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91,933,603.06</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207,659,929.54</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投资活动产生的现金流量净额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-13,648,738.41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-2,102,605.57</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三、筹资活动产生的现金流量：</w:t>
            </w: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lef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吸收投资收到的现金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取得借款收到的现金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发行债券收到的现金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收到其他与筹资活动有关的现金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筹资活动现金流入小计</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偿还债务支付的现金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分配股利、利润或偿付利息支付的现金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10,869,007.73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19,323,573.86</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支付其他与筹资活动有关的现金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71,990,167.15</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筹资活动现金流出小计</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82,859,174.88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19,323,573.86</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筹资活动产生的现金流量净额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-82,859,174.88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-19,323,573.86</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四、汇率变动对现金及现金等价物的影响</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51,454.47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-89,823.05</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五、现金及现金等价物净增加额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-12,976,858.45</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10,890,480.25</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加：期初现金及现金等价物余额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56,856,541.06</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64,746,592.78</w:t>
            </w:r>
          </w:p>
        </w:tc>
      </w:tr>
      <w:tr w:rsidR="00A9288A">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六、期末现金及现金等价物余额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43,879,682.61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75,637,073.03</w:t>
            </w:r>
          </w:p>
        </w:tc>
      </w:tr>
    </w:tbl>
    <w:p w:rsidR="00A9288A" w:rsidRDefault="00A9288A">
      <w:pPr>
        <w:pStyle w:val="Section"/>
        <w:outlineLvl w:val="2"/>
        <w:rPr>
          <w:rFonts w:eastAsia="Times New Roman" w:cs="Times New Roman"/>
        </w:rPr>
        <w:sectPr w:rsidR="00A9288A">
          <w:pgSz w:w="11906" w:h="16838"/>
          <w:pgMar w:top="1440" w:right="1134" w:bottom="1440" w:left="1134" w:header="851" w:footer="992" w:gutter="0"/>
          <w:cols w:space="720"/>
          <w:docGrid w:type="lines" w:linePitch="312"/>
        </w:sectPr>
      </w:pPr>
    </w:p>
    <w:p w:rsidR="00A9288A" w:rsidRDefault="007A4434">
      <w:pPr>
        <w:pStyle w:val="Section"/>
        <w:outlineLvl w:val="2"/>
        <w:rPr>
          <w:rFonts w:eastAsia="Times New Roman" w:cs="Times New Roman"/>
        </w:rPr>
      </w:pPr>
      <w:r>
        <w:rPr>
          <w:rFonts w:cs="Times New Roman"/>
        </w:rPr>
        <w:lastRenderedPageBreak/>
        <w:t>7</w:t>
      </w:r>
      <w:r>
        <w:rPr>
          <w:rFonts w:hint="eastAsia"/>
        </w:rPr>
        <w:t>、合并所有者权益变动表</w:t>
      </w:r>
    </w:p>
    <w:p w:rsidR="00A9288A" w:rsidRDefault="007A4434">
      <w:pPr>
        <w:jc w:val="left"/>
        <w:rPr>
          <w:rFonts w:eastAsia="Times New Roman" w:cs="Times New Roman"/>
        </w:rPr>
      </w:pPr>
      <w:r>
        <w:rPr>
          <w:rFonts w:hint="eastAsia"/>
        </w:rPr>
        <w:t>本期金额</w:t>
      </w:r>
    </w:p>
    <w:p w:rsidR="00A9288A" w:rsidRDefault="007A4434">
      <w:pPr>
        <w:jc w:val="right"/>
        <w:rPr>
          <w:rFonts w:eastAsia="Times New Roman" w:cs="Times New Roman"/>
        </w:rPr>
      </w:pPr>
      <w:r>
        <w:rPr>
          <w:rFonts w:hint="eastAsia"/>
        </w:rPr>
        <w:t>单位：元</w:t>
      </w:r>
    </w:p>
    <w:tbl>
      <w:tblPr>
        <w:tblW w:w="0" w:type="auto"/>
        <w:tblLayout w:type="fixed"/>
        <w:tblCellMar>
          <w:left w:w="28" w:type="dxa"/>
          <w:right w:w="28" w:type="dxa"/>
        </w:tblCellMar>
        <w:tblLook w:val="0000" w:firstRow="0" w:lastRow="0" w:firstColumn="0" w:lastColumn="0" w:noHBand="0" w:noVBand="0"/>
      </w:tblPr>
      <w:tblGrid>
        <w:gridCol w:w="1839"/>
        <w:gridCol w:w="1181"/>
        <w:gridCol w:w="511"/>
        <w:gridCol w:w="511"/>
        <w:gridCol w:w="514"/>
        <w:gridCol w:w="1181"/>
        <w:gridCol w:w="1091"/>
        <w:gridCol w:w="1001"/>
        <w:gridCol w:w="708"/>
        <w:gridCol w:w="1091"/>
        <w:gridCol w:w="708"/>
        <w:gridCol w:w="1181"/>
        <w:gridCol w:w="1181"/>
        <w:gridCol w:w="1316"/>
      </w:tblGrid>
      <w:tr w:rsidR="00A9288A">
        <w:tc>
          <w:tcPr>
            <w:tcW w:w="1839"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12175" w:type="dxa"/>
            <w:gridSpan w:val="13"/>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w:t>
            </w:r>
          </w:p>
        </w:tc>
      </w:tr>
      <w:tr w:rsidR="00A9288A">
        <w:tc>
          <w:tcPr>
            <w:tcW w:w="1839"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9678" w:type="dxa"/>
            <w:gridSpan w:val="11"/>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归属于母公司所有者权益</w:t>
            </w:r>
          </w:p>
        </w:tc>
        <w:tc>
          <w:tcPr>
            <w:tcW w:w="118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少数股东权益</w:t>
            </w:r>
          </w:p>
        </w:tc>
        <w:tc>
          <w:tcPr>
            <w:tcW w:w="1316"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所有者权益合计</w:t>
            </w:r>
          </w:p>
        </w:tc>
      </w:tr>
      <w:tr w:rsidR="00A9288A">
        <w:tc>
          <w:tcPr>
            <w:tcW w:w="1839"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18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股本</w:t>
            </w:r>
          </w:p>
        </w:tc>
        <w:tc>
          <w:tcPr>
            <w:tcW w:w="1536"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其他权益工具</w:t>
            </w:r>
          </w:p>
        </w:tc>
        <w:tc>
          <w:tcPr>
            <w:tcW w:w="118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资本公积</w:t>
            </w:r>
          </w:p>
        </w:tc>
        <w:tc>
          <w:tcPr>
            <w:tcW w:w="109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减：库存股</w:t>
            </w:r>
          </w:p>
        </w:tc>
        <w:tc>
          <w:tcPr>
            <w:tcW w:w="100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其他综合收益</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专项储备</w:t>
            </w:r>
          </w:p>
        </w:tc>
        <w:tc>
          <w:tcPr>
            <w:tcW w:w="109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盈余公积</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一般风险准备</w:t>
            </w:r>
          </w:p>
        </w:tc>
        <w:tc>
          <w:tcPr>
            <w:tcW w:w="118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未分配利润</w:t>
            </w:r>
          </w:p>
        </w:tc>
        <w:tc>
          <w:tcPr>
            <w:tcW w:w="118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316"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r>
      <w:tr w:rsidR="00A9288A">
        <w:tc>
          <w:tcPr>
            <w:tcW w:w="1839"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18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优先股</w:t>
            </w:r>
          </w:p>
        </w:tc>
        <w:tc>
          <w:tcPr>
            <w:tcW w:w="51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永续债</w:t>
            </w:r>
          </w:p>
        </w:tc>
        <w:tc>
          <w:tcPr>
            <w:tcW w:w="5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其他</w:t>
            </w:r>
          </w:p>
        </w:tc>
        <w:tc>
          <w:tcPr>
            <w:tcW w:w="118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09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00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708"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09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708"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18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18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316"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r>
      <w:tr w:rsidR="00A9288A">
        <w:tc>
          <w:tcPr>
            <w:tcW w:w="18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一、上年期末余额</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362,340,972.00</w:t>
            </w: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554,493,632.32</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2,490,526.01</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23,298,216.75</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278,883,879.11</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490,629,664.32</w:t>
            </w: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1,712,136,890.51</w:t>
            </w:r>
          </w:p>
        </w:tc>
      </w:tr>
      <w:tr w:rsidR="00A9288A">
        <w:tc>
          <w:tcPr>
            <w:tcW w:w="18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加：会计政策变更</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前期差错更正</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同一控制下企业合并</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其他</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二、本年期初余额</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362,340,972.00</w:t>
            </w: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554,493,632.32</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2,490,526.01</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23,298,216.75</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278,883,879.11</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490,629,664.32</w:t>
            </w: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1,712,136,890.51</w:t>
            </w:r>
          </w:p>
        </w:tc>
      </w:tr>
      <w:tr w:rsidR="00A9288A">
        <w:tc>
          <w:tcPr>
            <w:tcW w:w="18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三、本期增减变动金额（减少以</w:t>
            </w:r>
            <w:r>
              <w:rPr>
                <w:rFonts w:cs="Times New Roman"/>
              </w:rPr>
              <w:t>“</w:t>
            </w:r>
            <w:r>
              <w:rPr>
                <w:rFonts w:hint="eastAsia"/>
              </w:rPr>
              <w:t>－</w:t>
            </w:r>
            <w:r>
              <w:rPr>
                <w:rFonts w:cs="Times New Roman"/>
              </w:rPr>
              <w:t>”</w:t>
            </w:r>
            <w:r>
              <w:rPr>
                <w:rFonts w:hint="eastAsia"/>
              </w:rPr>
              <w:t>号填列）</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71,990,167.15</w:t>
            </w: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373,390.27</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48,661,058.26</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10,908,764.59</w:t>
            </w: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-12,046,954.03</w:t>
            </w:r>
          </w:p>
        </w:tc>
      </w:tr>
      <w:tr w:rsidR="00A9288A">
        <w:tc>
          <w:tcPr>
            <w:tcW w:w="18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（一）综合收益总额</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373,390.27</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59,531,272.15</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10,908,764.59</w:t>
            </w: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70,813,427.01</w:t>
            </w:r>
          </w:p>
        </w:tc>
      </w:tr>
      <w:tr w:rsidR="00A9288A">
        <w:tc>
          <w:tcPr>
            <w:tcW w:w="18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（二）所有者投入和减少资本</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71,990,167.15</w:t>
            </w: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-71,990,167.15</w:t>
            </w:r>
          </w:p>
        </w:tc>
      </w:tr>
      <w:tr w:rsidR="00A9288A">
        <w:tc>
          <w:tcPr>
            <w:tcW w:w="18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．股东投入的普通股</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2</w:t>
            </w:r>
            <w:r>
              <w:rPr>
                <w:rFonts w:hint="eastAsia"/>
              </w:rPr>
              <w:t>．其他权益工具持有者投入资本</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lastRenderedPageBreak/>
              <w:t>3</w:t>
            </w:r>
            <w:r>
              <w:rPr>
                <w:rFonts w:hint="eastAsia"/>
              </w:rPr>
              <w:t>．股份支付计入所有者权益的金额</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4</w:t>
            </w:r>
            <w:r>
              <w:rPr>
                <w:rFonts w:hint="eastAsia"/>
              </w:rPr>
              <w:t>．其他</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71,990,167.15</w:t>
            </w: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-71,990,167.15</w:t>
            </w:r>
          </w:p>
        </w:tc>
      </w:tr>
      <w:tr w:rsidR="00A9288A">
        <w:tc>
          <w:tcPr>
            <w:tcW w:w="18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（三）利润分配</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-10,870,213.89</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-10,870,213.89</w:t>
            </w:r>
          </w:p>
        </w:tc>
      </w:tr>
      <w:tr w:rsidR="00A9288A">
        <w:tc>
          <w:tcPr>
            <w:tcW w:w="18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．提取盈余公积</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2</w:t>
            </w:r>
            <w:r>
              <w:rPr>
                <w:rFonts w:hint="eastAsia"/>
              </w:rPr>
              <w:t>．提取一般风险准备</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3</w:t>
            </w:r>
            <w:r>
              <w:rPr>
                <w:rFonts w:hint="eastAsia"/>
              </w:rPr>
              <w:t>．对所有者（或股东）的分配</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-10,870,213.89</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-10,870,213.89</w:t>
            </w:r>
          </w:p>
        </w:tc>
      </w:tr>
      <w:tr w:rsidR="00A9288A">
        <w:tc>
          <w:tcPr>
            <w:tcW w:w="18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4</w:t>
            </w:r>
            <w:r>
              <w:rPr>
                <w:rFonts w:hint="eastAsia"/>
              </w:rPr>
              <w:t>．其他</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（四）所有者权益内部结转</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．资本公积转增资本（或股本）</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2</w:t>
            </w:r>
            <w:r>
              <w:rPr>
                <w:rFonts w:hint="eastAsia"/>
              </w:rPr>
              <w:t>．盈余公积转增资本（或股本）</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3</w:t>
            </w:r>
            <w:r>
              <w:rPr>
                <w:rFonts w:hint="eastAsia"/>
              </w:rPr>
              <w:t>．盈余公积弥补亏损</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4</w:t>
            </w:r>
            <w:r>
              <w:rPr>
                <w:rFonts w:hint="eastAsia"/>
              </w:rPr>
              <w:t>．其他</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（五）专项储备</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．本期提取</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2</w:t>
            </w:r>
            <w:r>
              <w:rPr>
                <w:rFonts w:hint="eastAsia"/>
              </w:rPr>
              <w:t>．本期使用</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（六）其他</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四、本期期末余额</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362,340,972.00</w:t>
            </w: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51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554,493,632.32</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71,990,167.15</w:t>
            </w:r>
          </w:p>
        </w:tc>
        <w:tc>
          <w:tcPr>
            <w:tcW w:w="10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2,863,916.28</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23,298,216.75</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327,544,937.37</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501,538,428.91</w:t>
            </w:r>
          </w:p>
        </w:tc>
        <w:tc>
          <w:tcPr>
            <w:tcW w:w="1316"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1,700,089,936.48</w:t>
            </w:r>
          </w:p>
        </w:tc>
      </w:tr>
    </w:tbl>
    <w:p w:rsidR="00A9288A" w:rsidRDefault="007A4434">
      <w:pPr>
        <w:jc w:val="left"/>
        <w:rPr>
          <w:rFonts w:eastAsia="Times New Roman" w:cs="Times New Roman"/>
        </w:rPr>
      </w:pPr>
      <w:r>
        <w:rPr>
          <w:rFonts w:hint="eastAsia"/>
        </w:rPr>
        <w:t>上年金额</w:t>
      </w:r>
    </w:p>
    <w:p w:rsidR="00A9288A" w:rsidRDefault="007A4434">
      <w:pPr>
        <w:jc w:val="right"/>
        <w:rPr>
          <w:rFonts w:eastAsia="Times New Roman" w:cs="Times New Roman"/>
        </w:rPr>
      </w:pPr>
      <w:r>
        <w:rPr>
          <w:rFonts w:hint="eastAsia"/>
        </w:rPr>
        <w:t>单位：元</w:t>
      </w:r>
    </w:p>
    <w:p w:rsidR="00A9288A" w:rsidRDefault="00A9288A">
      <w:pPr>
        <w:jc w:val="right"/>
        <w:rPr>
          <w:rFonts w:eastAsia="Times New Roman" w:cs="Times New Roman"/>
        </w:rPr>
      </w:pPr>
    </w:p>
    <w:tbl>
      <w:tblPr>
        <w:tblW w:w="0" w:type="auto"/>
        <w:tblInd w:w="-33" w:type="dxa"/>
        <w:tblLayout w:type="fixed"/>
        <w:tblCellMar>
          <w:left w:w="28" w:type="dxa"/>
          <w:right w:w="28" w:type="dxa"/>
        </w:tblCellMar>
        <w:tblLook w:val="0000" w:firstRow="0" w:lastRow="0" w:firstColumn="0" w:lastColumn="0" w:noHBand="0" w:noVBand="0"/>
      </w:tblPr>
      <w:tblGrid>
        <w:gridCol w:w="1864"/>
        <w:gridCol w:w="1181"/>
        <w:gridCol w:w="535"/>
        <w:gridCol w:w="535"/>
        <w:gridCol w:w="539"/>
        <w:gridCol w:w="1241"/>
        <w:gridCol w:w="733"/>
        <w:gridCol w:w="1091"/>
        <w:gridCol w:w="733"/>
        <w:gridCol w:w="1091"/>
        <w:gridCol w:w="733"/>
        <w:gridCol w:w="1181"/>
        <w:gridCol w:w="1241"/>
        <w:gridCol w:w="1316"/>
      </w:tblGrid>
      <w:tr w:rsidR="00A9288A">
        <w:tc>
          <w:tcPr>
            <w:tcW w:w="1864"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lastRenderedPageBreak/>
              <w:t>项目</w:t>
            </w:r>
          </w:p>
        </w:tc>
        <w:tc>
          <w:tcPr>
            <w:tcW w:w="12150" w:type="dxa"/>
            <w:gridSpan w:val="13"/>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w:t>
            </w:r>
          </w:p>
        </w:tc>
      </w:tr>
      <w:tr w:rsidR="00A9288A">
        <w:tc>
          <w:tcPr>
            <w:tcW w:w="1864"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9593" w:type="dxa"/>
            <w:gridSpan w:val="11"/>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归属于母公司所有者权益</w:t>
            </w:r>
          </w:p>
        </w:tc>
        <w:tc>
          <w:tcPr>
            <w:tcW w:w="124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少数股东权益</w:t>
            </w:r>
          </w:p>
        </w:tc>
        <w:tc>
          <w:tcPr>
            <w:tcW w:w="1316"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所有者权益合计</w:t>
            </w:r>
          </w:p>
        </w:tc>
      </w:tr>
      <w:tr w:rsidR="00A9288A">
        <w:tc>
          <w:tcPr>
            <w:tcW w:w="1864"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18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股本</w:t>
            </w:r>
          </w:p>
        </w:tc>
        <w:tc>
          <w:tcPr>
            <w:tcW w:w="1609"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其他权益工具</w:t>
            </w:r>
          </w:p>
        </w:tc>
        <w:tc>
          <w:tcPr>
            <w:tcW w:w="124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资本公积</w:t>
            </w:r>
          </w:p>
        </w:tc>
        <w:tc>
          <w:tcPr>
            <w:tcW w:w="73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减：库存股</w:t>
            </w:r>
          </w:p>
        </w:tc>
        <w:tc>
          <w:tcPr>
            <w:tcW w:w="109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其他综合收益</w:t>
            </w:r>
          </w:p>
        </w:tc>
        <w:tc>
          <w:tcPr>
            <w:tcW w:w="73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专项储备</w:t>
            </w:r>
          </w:p>
        </w:tc>
        <w:tc>
          <w:tcPr>
            <w:tcW w:w="109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盈余公积</w:t>
            </w:r>
          </w:p>
        </w:tc>
        <w:tc>
          <w:tcPr>
            <w:tcW w:w="73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一般风险准备</w:t>
            </w:r>
          </w:p>
        </w:tc>
        <w:tc>
          <w:tcPr>
            <w:tcW w:w="118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未分配利润</w:t>
            </w:r>
          </w:p>
        </w:tc>
        <w:tc>
          <w:tcPr>
            <w:tcW w:w="124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316"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r>
      <w:tr w:rsidR="00A9288A">
        <w:tc>
          <w:tcPr>
            <w:tcW w:w="1864"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18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优先股</w:t>
            </w:r>
          </w:p>
        </w:tc>
        <w:tc>
          <w:tcPr>
            <w:tcW w:w="5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永续债</w:t>
            </w:r>
          </w:p>
        </w:tc>
        <w:tc>
          <w:tcPr>
            <w:tcW w:w="53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其他</w:t>
            </w:r>
          </w:p>
        </w:tc>
        <w:tc>
          <w:tcPr>
            <w:tcW w:w="124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733"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09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733"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09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733"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18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24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316"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r>
      <w:tr w:rsidR="00A9288A">
        <w:tc>
          <w:tcPr>
            <w:tcW w:w="186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一、上年期末余额</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241,560,648.00</w:t>
            </w: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53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790,577,388.51</w:t>
            </w: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10,600,686.28</w:t>
            </w: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18,256,467.77</w:t>
            </w: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199,844,931.74</w:t>
            </w: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174,877,403.43</w:t>
            </w: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1,435,717,525.73</w:t>
            </w:r>
          </w:p>
        </w:tc>
      </w:tr>
      <w:tr w:rsidR="00A9288A">
        <w:tc>
          <w:tcPr>
            <w:tcW w:w="186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加：会计政策变更</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6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前期差错更正</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6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同一控制下企业合并</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6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其他</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6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二、本年期初余额</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241,560,648.00</w:t>
            </w: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53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790,577,388.51</w:t>
            </w: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10,600,686.28</w:t>
            </w: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18,256,467.77</w:t>
            </w: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199,844,931.74</w:t>
            </w: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174,877,403.43</w:t>
            </w: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1,435,717,525.73</w:t>
            </w:r>
          </w:p>
        </w:tc>
      </w:tr>
      <w:tr w:rsidR="00A9288A">
        <w:tc>
          <w:tcPr>
            <w:tcW w:w="186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三、本期增减变动金额（减少以</w:t>
            </w:r>
            <w:r>
              <w:rPr>
                <w:rFonts w:cs="Times New Roman"/>
              </w:rPr>
              <w:t>“</w:t>
            </w:r>
            <w:r>
              <w:rPr>
                <w:rFonts w:hint="eastAsia"/>
              </w:rPr>
              <w:t>－</w:t>
            </w:r>
            <w:r>
              <w:rPr>
                <w:rFonts w:cs="Times New Roman"/>
              </w:rPr>
              <w:t>”</w:t>
            </w:r>
            <w:r>
              <w:rPr>
                <w:rFonts w:hint="eastAsia"/>
              </w:rPr>
              <w:t>号填列）</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120,780,324.00</w:t>
            </w: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53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-236,083,756.19</w:t>
            </w: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-8,110,160.27</w:t>
            </w: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5,041,748.98</w:t>
            </w: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79,038,947.37</w:t>
            </w: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315,752,260.89</w:t>
            </w: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276,419,364.78</w:t>
            </w:r>
          </w:p>
        </w:tc>
      </w:tr>
      <w:tr w:rsidR="00A9288A">
        <w:tc>
          <w:tcPr>
            <w:tcW w:w="186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（一）综合收益总额</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-8,110,160.27</w:t>
            </w: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103,405,548.19</w:t>
            </w: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46,514,740.01</w:t>
            </w: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141,810,127.93</w:t>
            </w:r>
          </w:p>
        </w:tc>
      </w:tr>
      <w:tr w:rsidR="00A9288A">
        <w:tc>
          <w:tcPr>
            <w:tcW w:w="186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（二）所有者投入和减少资本</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-115,303,432.19</w:t>
            </w: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294,606,045.88</w:t>
            </w: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179,302,613.69</w:t>
            </w:r>
          </w:p>
        </w:tc>
      </w:tr>
      <w:tr w:rsidR="00A9288A">
        <w:tc>
          <w:tcPr>
            <w:tcW w:w="186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．股东投入的普通股</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646,000,000.00</w:t>
            </w: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646,000,000.00</w:t>
            </w:r>
          </w:p>
        </w:tc>
      </w:tr>
      <w:tr w:rsidR="00A9288A">
        <w:tc>
          <w:tcPr>
            <w:tcW w:w="186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2</w:t>
            </w:r>
            <w:r>
              <w:rPr>
                <w:rFonts w:hint="eastAsia"/>
              </w:rPr>
              <w:t>．其他权益工具持有者投入资本</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6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3</w:t>
            </w:r>
            <w:r>
              <w:rPr>
                <w:rFonts w:hint="eastAsia"/>
              </w:rPr>
              <w:t>．股份支付计入所有者权益的金额</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6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4</w:t>
            </w:r>
            <w:r>
              <w:rPr>
                <w:rFonts w:hint="eastAsia"/>
              </w:rPr>
              <w:t>．其他</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-115,303,432.19</w:t>
            </w: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-351,393,954.12</w:t>
            </w: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-466,697,386.31</w:t>
            </w:r>
          </w:p>
        </w:tc>
      </w:tr>
      <w:tr w:rsidR="00A9288A">
        <w:tc>
          <w:tcPr>
            <w:tcW w:w="186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（三）利润分配</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5,041,748.98</w:t>
            </w: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-24,366,600.82</w:t>
            </w: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-25,368,525.00</w:t>
            </w: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-44,693,376.84</w:t>
            </w:r>
          </w:p>
        </w:tc>
      </w:tr>
      <w:tr w:rsidR="00A9288A">
        <w:tc>
          <w:tcPr>
            <w:tcW w:w="186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．提取盈余公积</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5,041,748.98</w:t>
            </w: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-5,041,748.98</w:t>
            </w: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86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lastRenderedPageBreak/>
              <w:t>2</w:t>
            </w:r>
            <w:r>
              <w:rPr>
                <w:rFonts w:hint="eastAsia"/>
              </w:rPr>
              <w:t>．提取一般风险准备</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6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3</w:t>
            </w:r>
            <w:r>
              <w:rPr>
                <w:rFonts w:hint="eastAsia"/>
              </w:rPr>
              <w:t>．对所有者（或股东）的分配</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-19,324,851.84</w:t>
            </w: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-25,368,525.00</w:t>
            </w: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-44,693,376.84</w:t>
            </w:r>
          </w:p>
        </w:tc>
      </w:tr>
      <w:tr w:rsidR="00A9288A">
        <w:tc>
          <w:tcPr>
            <w:tcW w:w="186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4</w:t>
            </w:r>
            <w:r>
              <w:rPr>
                <w:rFonts w:hint="eastAsia"/>
              </w:rPr>
              <w:t>．其他</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6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（四）所有者权益内部结转</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120,780,324.00</w:t>
            </w: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53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-120,780,324.00</w:t>
            </w: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86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．资本公积转增资本（或股本）</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120,780,324.00</w:t>
            </w: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53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-120,780,324.00</w:t>
            </w: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86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2</w:t>
            </w:r>
            <w:r>
              <w:rPr>
                <w:rFonts w:hint="eastAsia"/>
              </w:rPr>
              <w:t>．盈余公积转增资本（或股本）</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6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3</w:t>
            </w:r>
            <w:r>
              <w:rPr>
                <w:rFonts w:hint="eastAsia"/>
              </w:rPr>
              <w:t>．盈余公积弥补亏损</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6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4</w:t>
            </w:r>
            <w:r>
              <w:rPr>
                <w:rFonts w:hint="eastAsia"/>
              </w:rPr>
              <w:t>．其他</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6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（五）专项储备</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6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．本期提取</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6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2</w:t>
            </w:r>
            <w:r>
              <w:rPr>
                <w:rFonts w:hint="eastAsia"/>
              </w:rPr>
              <w:t>．本期使用</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6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（六）其他</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53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86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四、本期期末余额</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362,340,972.00</w:t>
            </w: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53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554,493,632.32</w:t>
            </w: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2,490,526.01</w:t>
            </w: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23,298,216.75</w:t>
            </w: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278,883,879.11</w:t>
            </w: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490,629,664.32</w:t>
            </w: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1,712,136,890.51</w:t>
            </w:r>
          </w:p>
        </w:tc>
      </w:tr>
    </w:tbl>
    <w:p w:rsidR="00A9288A" w:rsidRDefault="007A4434">
      <w:pPr>
        <w:pStyle w:val="Section"/>
        <w:outlineLvl w:val="2"/>
        <w:rPr>
          <w:rFonts w:eastAsia="Times New Roman" w:cs="Times New Roman"/>
        </w:rPr>
      </w:pPr>
      <w:r>
        <w:rPr>
          <w:rFonts w:cs="Times New Roman"/>
        </w:rPr>
        <w:t>8</w:t>
      </w:r>
      <w:r>
        <w:rPr>
          <w:rFonts w:hint="eastAsia"/>
        </w:rPr>
        <w:t>、母公司所有者权益变动表</w:t>
      </w:r>
    </w:p>
    <w:p w:rsidR="00A9288A" w:rsidRDefault="007A4434">
      <w:pPr>
        <w:jc w:val="left"/>
        <w:rPr>
          <w:rFonts w:eastAsia="Times New Roman" w:cs="Times New Roman"/>
        </w:rPr>
      </w:pPr>
      <w:r>
        <w:rPr>
          <w:rFonts w:hint="eastAsia"/>
        </w:rPr>
        <w:t>本期金额</w:t>
      </w:r>
    </w:p>
    <w:p w:rsidR="00A9288A" w:rsidRDefault="007A4434">
      <w:pPr>
        <w:jc w:val="right"/>
        <w:rPr>
          <w:rFonts w:eastAsia="Times New Roman" w:cs="Times New Roman"/>
        </w:rPr>
      </w:pPr>
      <w:r>
        <w:rPr>
          <w:rFonts w:hint="eastAsia"/>
        </w:rPr>
        <w:t>单位：元</w:t>
      </w:r>
    </w:p>
    <w:tbl>
      <w:tblPr>
        <w:tblW w:w="0" w:type="auto"/>
        <w:tblInd w:w="-33" w:type="dxa"/>
        <w:tblLayout w:type="fixed"/>
        <w:tblCellMar>
          <w:left w:w="28" w:type="dxa"/>
          <w:right w:w="28" w:type="dxa"/>
        </w:tblCellMar>
        <w:tblLook w:val="0000" w:firstRow="0" w:lastRow="0" w:firstColumn="0" w:lastColumn="0" w:noHBand="0" w:noVBand="0"/>
      </w:tblPr>
      <w:tblGrid>
        <w:gridCol w:w="2042"/>
        <w:gridCol w:w="1181"/>
        <w:gridCol w:w="904"/>
        <w:gridCol w:w="904"/>
        <w:gridCol w:w="907"/>
        <w:gridCol w:w="1181"/>
        <w:gridCol w:w="1101"/>
        <w:gridCol w:w="1098"/>
        <w:gridCol w:w="1101"/>
        <w:gridCol w:w="1098"/>
        <w:gridCol w:w="1181"/>
        <w:gridCol w:w="1316"/>
      </w:tblGrid>
      <w:tr w:rsidR="00A9288A">
        <w:tc>
          <w:tcPr>
            <w:tcW w:w="2042"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11972" w:type="dxa"/>
            <w:gridSpan w:val="11"/>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w:t>
            </w:r>
          </w:p>
        </w:tc>
      </w:tr>
      <w:tr w:rsidR="00A9288A">
        <w:tc>
          <w:tcPr>
            <w:tcW w:w="2042"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18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股本</w:t>
            </w:r>
          </w:p>
        </w:tc>
        <w:tc>
          <w:tcPr>
            <w:tcW w:w="2715"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其他权益工具</w:t>
            </w:r>
          </w:p>
        </w:tc>
        <w:tc>
          <w:tcPr>
            <w:tcW w:w="118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资本公积</w:t>
            </w:r>
          </w:p>
        </w:tc>
        <w:tc>
          <w:tcPr>
            <w:tcW w:w="110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减：库存股</w:t>
            </w:r>
          </w:p>
        </w:tc>
        <w:tc>
          <w:tcPr>
            <w:tcW w:w="1098"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其他综合收益</w:t>
            </w:r>
          </w:p>
        </w:tc>
        <w:tc>
          <w:tcPr>
            <w:tcW w:w="110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专项储备</w:t>
            </w:r>
          </w:p>
        </w:tc>
        <w:tc>
          <w:tcPr>
            <w:tcW w:w="1098"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盈余公积</w:t>
            </w:r>
          </w:p>
        </w:tc>
        <w:tc>
          <w:tcPr>
            <w:tcW w:w="118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未分配利润</w:t>
            </w:r>
          </w:p>
        </w:tc>
        <w:tc>
          <w:tcPr>
            <w:tcW w:w="1316"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所有者权益合计</w:t>
            </w:r>
          </w:p>
        </w:tc>
      </w:tr>
      <w:tr w:rsidR="00A9288A">
        <w:tc>
          <w:tcPr>
            <w:tcW w:w="2042"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18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优先股</w:t>
            </w:r>
          </w:p>
        </w:tc>
        <w:tc>
          <w:tcPr>
            <w:tcW w:w="90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永续债</w:t>
            </w:r>
          </w:p>
        </w:tc>
        <w:tc>
          <w:tcPr>
            <w:tcW w:w="90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其他</w:t>
            </w:r>
          </w:p>
        </w:tc>
        <w:tc>
          <w:tcPr>
            <w:tcW w:w="118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10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098"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10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098"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18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316"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r>
      <w:tr w:rsidR="00A9288A">
        <w:tc>
          <w:tcPr>
            <w:tcW w:w="204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lastRenderedPageBreak/>
              <w:t>一、上年期末余额</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362,340,972.00</w:t>
            </w: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9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686,602,367.12</w:t>
            </w: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23,176,596.17</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142,727,149.49</w:t>
            </w: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1,214,847,084.78</w:t>
            </w:r>
          </w:p>
        </w:tc>
      </w:tr>
      <w:tr w:rsidR="00A9288A">
        <w:tc>
          <w:tcPr>
            <w:tcW w:w="204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加：会计政策变更</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4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前期差错更正</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4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其他</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4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二、本年期初余额</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362,340,972.00</w:t>
            </w: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9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686,602,367.12</w:t>
            </w: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23,176,596.17</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142,727,149.49</w:t>
            </w: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1,214,847,084.78</w:t>
            </w:r>
          </w:p>
        </w:tc>
      </w:tr>
      <w:tr w:rsidR="00A9288A">
        <w:tc>
          <w:tcPr>
            <w:tcW w:w="204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三、本期增减变动金额（减少以</w:t>
            </w:r>
            <w:r>
              <w:rPr>
                <w:rFonts w:cs="Times New Roman"/>
              </w:rPr>
              <w:t>“</w:t>
            </w:r>
            <w:r>
              <w:rPr>
                <w:rFonts w:hint="eastAsia"/>
              </w:rPr>
              <w:t>－</w:t>
            </w:r>
            <w:r>
              <w:rPr>
                <w:rFonts w:cs="Times New Roman"/>
              </w:rPr>
              <w:t>”</w:t>
            </w:r>
            <w:r>
              <w:rPr>
                <w:rFonts w:hint="eastAsia"/>
              </w:rPr>
              <w:t>号填列）</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71,990,167.15</w:t>
            </w: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20,755,411.70</w:t>
            </w: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-51,234,755.45</w:t>
            </w:r>
          </w:p>
        </w:tc>
      </w:tr>
      <w:tr w:rsidR="00A9288A">
        <w:tc>
          <w:tcPr>
            <w:tcW w:w="204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（一）综合收益总额</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31,625,625.59</w:t>
            </w: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31,625,625.59</w:t>
            </w:r>
          </w:p>
        </w:tc>
      </w:tr>
      <w:tr w:rsidR="00A9288A">
        <w:tc>
          <w:tcPr>
            <w:tcW w:w="204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（二）所有者投入和减少资本</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71,990,167.15</w:t>
            </w: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-71,990,167.15</w:t>
            </w:r>
          </w:p>
        </w:tc>
      </w:tr>
      <w:tr w:rsidR="00A9288A">
        <w:tc>
          <w:tcPr>
            <w:tcW w:w="204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．股东投入的普通股</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4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2</w:t>
            </w:r>
            <w:r>
              <w:rPr>
                <w:rFonts w:hint="eastAsia"/>
              </w:rPr>
              <w:t>．其他权益工具持有者投入资本</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4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3</w:t>
            </w:r>
            <w:r>
              <w:rPr>
                <w:rFonts w:hint="eastAsia"/>
              </w:rPr>
              <w:t>．股份支付计入所有者权益的金额</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4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4</w:t>
            </w:r>
            <w:r>
              <w:rPr>
                <w:rFonts w:hint="eastAsia"/>
              </w:rPr>
              <w:t>．其他</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71,990,167.15</w:t>
            </w: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-71,990,167.15</w:t>
            </w:r>
          </w:p>
        </w:tc>
      </w:tr>
      <w:tr w:rsidR="00A9288A">
        <w:tc>
          <w:tcPr>
            <w:tcW w:w="204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（三）利润分配</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-10,870,213.89</w:t>
            </w: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-10,870,213.89</w:t>
            </w:r>
          </w:p>
        </w:tc>
      </w:tr>
      <w:tr w:rsidR="00A9288A">
        <w:tc>
          <w:tcPr>
            <w:tcW w:w="204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．提取盈余公积</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4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2</w:t>
            </w:r>
            <w:r>
              <w:rPr>
                <w:rFonts w:hint="eastAsia"/>
              </w:rPr>
              <w:t>．对所有者（或股东）的分配</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-10,870,213.89</w:t>
            </w: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-10,870,213.89</w:t>
            </w:r>
          </w:p>
        </w:tc>
      </w:tr>
      <w:tr w:rsidR="00A9288A">
        <w:tc>
          <w:tcPr>
            <w:tcW w:w="204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3</w:t>
            </w:r>
            <w:r>
              <w:rPr>
                <w:rFonts w:hint="eastAsia"/>
              </w:rPr>
              <w:t>．其他</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4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（四）所有者权益内部结转</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4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．资本公积转增资本（或股本）</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4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lastRenderedPageBreak/>
              <w:t>2</w:t>
            </w:r>
            <w:r>
              <w:rPr>
                <w:rFonts w:hint="eastAsia"/>
              </w:rPr>
              <w:t>．盈余公积转增资本（或股本）</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4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3</w:t>
            </w:r>
            <w:r>
              <w:rPr>
                <w:rFonts w:hint="eastAsia"/>
              </w:rPr>
              <w:t>．盈余公积弥补亏损</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4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4</w:t>
            </w:r>
            <w:r>
              <w:rPr>
                <w:rFonts w:hint="eastAsia"/>
              </w:rPr>
              <w:t>．其他</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4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（五）专项储备</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4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．本期提取</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4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2</w:t>
            </w:r>
            <w:r>
              <w:rPr>
                <w:rFonts w:hint="eastAsia"/>
              </w:rPr>
              <w:t>．本期使用</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4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（六）其他</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9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4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四、本期期末余额</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362,340,972.00</w:t>
            </w: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90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9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686,602,367.12</w:t>
            </w: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71,990,167.15</w:t>
            </w: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0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23,176,596.17</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163,482,561.19</w:t>
            </w:r>
          </w:p>
        </w:tc>
        <w:tc>
          <w:tcPr>
            <w:tcW w:w="1316"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1,163,612,329.33</w:t>
            </w:r>
          </w:p>
        </w:tc>
      </w:tr>
    </w:tbl>
    <w:p w:rsidR="00A9288A" w:rsidRDefault="007A4434">
      <w:pPr>
        <w:jc w:val="left"/>
        <w:rPr>
          <w:rFonts w:eastAsia="Times New Roman" w:cs="Times New Roman"/>
        </w:rPr>
      </w:pPr>
      <w:r>
        <w:rPr>
          <w:rFonts w:hint="eastAsia"/>
        </w:rPr>
        <w:t>上年金额</w:t>
      </w:r>
    </w:p>
    <w:p w:rsidR="00A9288A" w:rsidRDefault="007A4434">
      <w:pPr>
        <w:jc w:val="right"/>
        <w:rPr>
          <w:rFonts w:eastAsia="Times New Roman" w:cs="Times New Roman"/>
        </w:rPr>
      </w:pPr>
      <w:r>
        <w:rPr>
          <w:rFonts w:hint="eastAsia"/>
        </w:rPr>
        <w:t>单位：元</w:t>
      </w:r>
    </w:p>
    <w:tbl>
      <w:tblPr>
        <w:tblW w:w="0" w:type="auto"/>
        <w:tblInd w:w="-33" w:type="dxa"/>
        <w:tblLayout w:type="fixed"/>
        <w:tblCellMar>
          <w:left w:w="28" w:type="dxa"/>
          <w:right w:w="28" w:type="dxa"/>
        </w:tblCellMar>
        <w:tblLook w:val="0000" w:firstRow="0" w:lastRow="0" w:firstColumn="0" w:lastColumn="0" w:noHBand="0" w:noVBand="0"/>
      </w:tblPr>
      <w:tblGrid>
        <w:gridCol w:w="2035"/>
        <w:gridCol w:w="1181"/>
        <w:gridCol w:w="897"/>
        <w:gridCol w:w="897"/>
        <w:gridCol w:w="899"/>
        <w:gridCol w:w="1241"/>
        <w:gridCol w:w="1093"/>
        <w:gridCol w:w="1090"/>
        <w:gridCol w:w="1093"/>
        <w:gridCol w:w="1091"/>
        <w:gridCol w:w="1181"/>
        <w:gridCol w:w="1316"/>
      </w:tblGrid>
      <w:tr w:rsidR="00A9288A">
        <w:tc>
          <w:tcPr>
            <w:tcW w:w="2035"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11979" w:type="dxa"/>
            <w:gridSpan w:val="11"/>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w:t>
            </w:r>
          </w:p>
        </w:tc>
      </w:tr>
      <w:tr w:rsidR="00A9288A">
        <w:tc>
          <w:tcPr>
            <w:tcW w:w="2035"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18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股本</w:t>
            </w:r>
          </w:p>
        </w:tc>
        <w:tc>
          <w:tcPr>
            <w:tcW w:w="2693"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其他权益工具</w:t>
            </w:r>
          </w:p>
        </w:tc>
        <w:tc>
          <w:tcPr>
            <w:tcW w:w="124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资本公积</w:t>
            </w:r>
          </w:p>
        </w:tc>
        <w:tc>
          <w:tcPr>
            <w:tcW w:w="109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减：库存股</w:t>
            </w:r>
          </w:p>
        </w:tc>
        <w:tc>
          <w:tcPr>
            <w:tcW w:w="1090"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其他综合收益</w:t>
            </w:r>
          </w:p>
        </w:tc>
        <w:tc>
          <w:tcPr>
            <w:tcW w:w="109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专项储备</w:t>
            </w:r>
          </w:p>
        </w:tc>
        <w:tc>
          <w:tcPr>
            <w:tcW w:w="109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盈余公积</w:t>
            </w:r>
          </w:p>
        </w:tc>
        <w:tc>
          <w:tcPr>
            <w:tcW w:w="118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未分配利润</w:t>
            </w:r>
          </w:p>
        </w:tc>
        <w:tc>
          <w:tcPr>
            <w:tcW w:w="1316"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所有者权益合计</w:t>
            </w:r>
          </w:p>
        </w:tc>
      </w:tr>
      <w:tr w:rsidR="00A9288A">
        <w:tc>
          <w:tcPr>
            <w:tcW w:w="2035"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18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优先股</w:t>
            </w:r>
          </w:p>
        </w:tc>
        <w:tc>
          <w:tcPr>
            <w:tcW w:w="89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永续债</w:t>
            </w:r>
          </w:p>
        </w:tc>
        <w:tc>
          <w:tcPr>
            <w:tcW w:w="89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其他</w:t>
            </w:r>
          </w:p>
        </w:tc>
        <w:tc>
          <w:tcPr>
            <w:tcW w:w="124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093"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090"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093"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09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18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316"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r>
      <w:tr w:rsidR="00A9288A">
        <w:tc>
          <w:tcPr>
            <w:tcW w:w="20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一、上年期末余额</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241,560,648.00</w:t>
            </w: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9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807,382,691.12</w:t>
            </w: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18,134,847.19</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116,676,260.52</w:t>
            </w: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1,183,754,446.83</w:t>
            </w:r>
          </w:p>
        </w:tc>
      </w:tr>
      <w:tr w:rsidR="00A9288A">
        <w:tc>
          <w:tcPr>
            <w:tcW w:w="20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加：会计政策变更</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前期差错更正</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其他</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二、本年期初余额</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241,560,648.00</w:t>
            </w: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9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807,382,691.12</w:t>
            </w: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18,134,847.19</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116,676,260.52</w:t>
            </w: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1,183,754,446.83</w:t>
            </w:r>
          </w:p>
        </w:tc>
      </w:tr>
      <w:tr w:rsidR="00A9288A">
        <w:tc>
          <w:tcPr>
            <w:tcW w:w="20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三、本期增减变动金额（减少以</w:t>
            </w:r>
            <w:r>
              <w:rPr>
                <w:rFonts w:cs="Times New Roman"/>
              </w:rPr>
              <w:t>“</w:t>
            </w:r>
            <w:r>
              <w:rPr>
                <w:rFonts w:hint="eastAsia"/>
              </w:rPr>
              <w:t>－</w:t>
            </w:r>
            <w:r>
              <w:rPr>
                <w:rFonts w:cs="Times New Roman"/>
              </w:rPr>
              <w:t>”</w:t>
            </w:r>
            <w:r>
              <w:rPr>
                <w:rFonts w:hint="eastAsia"/>
              </w:rPr>
              <w:t>号填列）</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120,780,324.00</w:t>
            </w: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9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-120,780,324.00</w:t>
            </w: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5,041,748.98</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26,050,888.97</w:t>
            </w: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31,092,637.95</w:t>
            </w:r>
          </w:p>
        </w:tc>
      </w:tr>
      <w:tr w:rsidR="00A9288A">
        <w:tc>
          <w:tcPr>
            <w:tcW w:w="20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（一）综合收益总额</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50,417,489.79</w:t>
            </w: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50,417,489.79</w:t>
            </w:r>
          </w:p>
        </w:tc>
      </w:tr>
      <w:tr w:rsidR="00A9288A">
        <w:tc>
          <w:tcPr>
            <w:tcW w:w="20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（二）所有者投入和减少资本</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lastRenderedPageBreak/>
              <w:t>1</w:t>
            </w:r>
            <w:r>
              <w:rPr>
                <w:rFonts w:hint="eastAsia"/>
              </w:rPr>
              <w:t>．股东投入的普通股</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2</w:t>
            </w:r>
            <w:r>
              <w:rPr>
                <w:rFonts w:hint="eastAsia"/>
              </w:rPr>
              <w:t>．其他权益工具持有者投入资本</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3</w:t>
            </w:r>
            <w:r>
              <w:rPr>
                <w:rFonts w:hint="eastAsia"/>
              </w:rPr>
              <w:t>．股份支付计入所有者权益的金额</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4</w:t>
            </w:r>
            <w:r>
              <w:rPr>
                <w:rFonts w:hint="eastAsia"/>
              </w:rPr>
              <w:t>．其他</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（三）利润分配</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5,041,748.98</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-24,366,600.82</w:t>
            </w: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-19,324,851.84</w:t>
            </w:r>
          </w:p>
        </w:tc>
      </w:tr>
      <w:tr w:rsidR="00A9288A">
        <w:tc>
          <w:tcPr>
            <w:tcW w:w="20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．提取盈余公积</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5,041,748.98</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-5,041,748.98</w:t>
            </w: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20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2</w:t>
            </w:r>
            <w:r>
              <w:rPr>
                <w:rFonts w:hint="eastAsia"/>
              </w:rPr>
              <w:t>．对所有者（或股东）的分配</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-19,324,851.84</w:t>
            </w: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-19,324,851.84</w:t>
            </w:r>
          </w:p>
        </w:tc>
      </w:tr>
      <w:tr w:rsidR="00A9288A">
        <w:tc>
          <w:tcPr>
            <w:tcW w:w="20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3</w:t>
            </w:r>
            <w:r>
              <w:rPr>
                <w:rFonts w:hint="eastAsia"/>
              </w:rPr>
              <w:t>．其他</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（四）所有者权益内部结转</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120,780,324.00</w:t>
            </w: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9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-120,780,324.00</w:t>
            </w: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20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．资本公积转增资本（或股本）</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120,780,324.00</w:t>
            </w: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9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-120,780,324.00</w:t>
            </w: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20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2</w:t>
            </w:r>
            <w:r>
              <w:rPr>
                <w:rFonts w:hint="eastAsia"/>
              </w:rPr>
              <w:t>．盈余公积转增资本（或股本）</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3</w:t>
            </w:r>
            <w:r>
              <w:rPr>
                <w:rFonts w:hint="eastAsia"/>
              </w:rPr>
              <w:t>．盈余公积弥补亏损</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4</w:t>
            </w:r>
            <w:r>
              <w:rPr>
                <w:rFonts w:hint="eastAsia"/>
              </w:rPr>
              <w:t>．其他</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（五）专项储备</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．本期提取</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2</w:t>
            </w:r>
            <w:r>
              <w:rPr>
                <w:rFonts w:hint="eastAsia"/>
              </w:rPr>
              <w:t>．本期使用</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（六）其他</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89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20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四、本期期末余额</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362,340,972.00</w:t>
            </w: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9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24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686,602,367.12</w:t>
            </w: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23,176,596.17</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142,727,149.49</w:t>
            </w: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1,214,847,084.78</w:t>
            </w:r>
          </w:p>
        </w:tc>
      </w:tr>
    </w:tbl>
    <w:p w:rsidR="00A9288A" w:rsidRDefault="00A9288A">
      <w:pPr>
        <w:pStyle w:val="Chapter"/>
        <w:outlineLvl w:val="1"/>
        <w:rPr>
          <w:rFonts w:eastAsia="Times New Roman" w:cs="Times New Roman"/>
        </w:rPr>
        <w:sectPr w:rsidR="00A9288A">
          <w:pgSz w:w="16838" w:h="11906" w:orient="landscape"/>
          <w:pgMar w:top="1134" w:right="1440" w:bottom="1134" w:left="1440" w:header="851" w:footer="992" w:gutter="0"/>
          <w:cols w:space="720"/>
          <w:docGrid w:type="lines" w:linePitch="312"/>
        </w:sectPr>
      </w:pPr>
    </w:p>
    <w:p w:rsidR="00A9288A" w:rsidRDefault="007A4434">
      <w:pPr>
        <w:pStyle w:val="Chapter"/>
        <w:outlineLvl w:val="1"/>
        <w:rPr>
          <w:rFonts w:eastAsia="Times New Roman" w:cs="Times New Roman"/>
        </w:rPr>
      </w:pPr>
      <w:r>
        <w:rPr>
          <w:rFonts w:hint="eastAsia"/>
        </w:rPr>
        <w:lastRenderedPageBreak/>
        <w:t>三、公司基本情况</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北京海兰信数据科技股份有限公司（以下简称</w:t>
      </w:r>
      <w:r>
        <w:rPr>
          <w:rFonts w:eastAsia="Times New Roman" w:cs="Times New Roman"/>
          <w:kern w:val="0"/>
          <w:sz w:val="21"/>
          <w:szCs w:val="21"/>
          <w:lang w:val="zh-CN"/>
        </w:rPr>
        <w:t>“</w:t>
      </w:r>
      <w:r>
        <w:rPr>
          <w:rFonts w:ascii="宋体" w:hAnsi="宋体" w:hint="eastAsia"/>
          <w:kern w:val="0"/>
          <w:sz w:val="21"/>
          <w:szCs w:val="21"/>
          <w:lang w:val="zh-CN"/>
        </w:rPr>
        <w:t>本公司</w:t>
      </w:r>
      <w:r>
        <w:rPr>
          <w:rFonts w:eastAsia="Times New Roman" w:cs="Times New Roman"/>
          <w:kern w:val="0"/>
          <w:sz w:val="21"/>
          <w:szCs w:val="21"/>
          <w:lang w:val="zh-CN"/>
        </w:rPr>
        <w:t>”</w:t>
      </w:r>
      <w:r>
        <w:rPr>
          <w:rFonts w:ascii="宋体" w:hAnsi="宋体" w:hint="eastAsia"/>
          <w:kern w:val="0"/>
          <w:sz w:val="21"/>
          <w:szCs w:val="21"/>
          <w:lang w:val="zh-CN"/>
        </w:rPr>
        <w:t>、</w:t>
      </w:r>
      <w:r>
        <w:rPr>
          <w:rFonts w:eastAsia="Times New Roman" w:cs="Times New Roman"/>
          <w:kern w:val="0"/>
          <w:sz w:val="21"/>
          <w:szCs w:val="21"/>
          <w:lang w:val="zh-CN"/>
        </w:rPr>
        <w:t>“</w:t>
      </w:r>
      <w:r>
        <w:rPr>
          <w:rFonts w:ascii="宋体" w:hAnsi="宋体" w:hint="eastAsia"/>
          <w:kern w:val="0"/>
          <w:sz w:val="21"/>
          <w:szCs w:val="21"/>
          <w:lang w:val="zh-CN"/>
        </w:rPr>
        <w:t>公司</w:t>
      </w:r>
      <w:r>
        <w:rPr>
          <w:rFonts w:eastAsia="Times New Roman" w:cs="Times New Roman"/>
          <w:kern w:val="0"/>
          <w:sz w:val="21"/>
          <w:szCs w:val="21"/>
          <w:lang w:val="zh-CN"/>
        </w:rPr>
        <w:t>”</w:t>
      </w:r>
      <w:r>
        <w:rPr>
          <w:rFonts w:ascii="宋体" w:hAnsi="宋体" w:hint="eastAsia"/>
          <w:kern w:val="0"/>
          <w:sz w:val="21"/>
          <w:szCs w:val="21"/>
          <w:lang w:val="zh-CN"/>
        </w:rPr>
        <w:t>或者</w:t>
      </w:r>
      <w:r>
        <w:rPr>
          <w:rFonts w:eastAsia="Times New Roman" w:cs="Times New Roman"/>
          <w:kern w:val="0"/>
          <w:sz w:val="21"/>
          <w:szCs w:val="21"/>
          <w:lang w:val="zh-CN"/>
        </w:rPr>
        <w:t>“</w:t>
      </w:r>
      <w:r>
        <w:rPr>
          <w:rFonts w:ascii="宋体" w:hAnsi="宋体" w:hint="eastAsia"/>
          <w:kern w:val="0"/>
          <w:sz w:val="21"/>
          <w:szCs w:val="21"/>
          <w:lang w:val="zh-CN"/>
        </w:rPr>
        <w:t>海兰信</w:t>
      </w:r>
      <w:r>
        <w:rPr>
          <w:rFonts w:eastAsia="Times New Roman" w:cs="Times New Roman"/>
          <w:kern w:val="0"/>
          <w:sz w:val="21"/>
          <w:szCs w:val="21"/>
          <w:lang w:val="zh-CN"/>
        </w:rPr>
        <w:t>”</w:t>
      </w:r>
      <w:r>
        <w:rPr>
          <w:rFonts w:ascii="宋体" w:hAnsi="宋体" w:hint="eastAsia"/>
          <w:kern w:val="0"/>
          <w:sz w:val="21"/>
          <w:szCs w:val="21"/>
          <w:lang w:val="zh-CN"/>
        </w:rPr>
        <w:t>，在包含子公司时统称</w:t>
      </w:r>
      <w:r>
        <w:rPr>
          <w:rFonts w:eastAsia="Times New Roman" w:cs="Times New Roman"/>
          <w:kern w:val="0"/>
          <w:sz w:val="21"/>
          <w:szCs w:val="21"/>
          <w:lang w:val="zh-CN"/>
        </w:rPr>
        <w:t>“</w:t>
      </w:r>
      <w:r>
        <w:rPr>
          <w:rFonts w:ascii="宋体" w:hAnsi="宋体" w:hint="eastAsia"/>
          <w:kern w:val="0"/>
          <w:sz w:val="21"/>
          <w:szCs w:val="21"/>
          <w:lang w:val="zh-CN"/>
        </w:rPr>
        <w:t>本集团</w:t>
      </w:r>
      <w:r>
        <w:rPr>
          <w:rFonts w:eastAsia="Times New Roman" w:cs="Times New Roman"/>
          <w:kern w:val="0"/>
          <w:sz w:val="21"/>
          <w:szCs w:val="21"/>
          <w:lang w:val="zh-CN"/>
        </w:rPr>
        <w:t>”</w:t>
      </w:r>
      <w:r>
        <w:rPr>
          <w:rFonts w:ascii="宋体" w:hAnsi="宋体" w:hint="eastAsia"/>
          <w:kern w:val="0"/>
          <w:sz w:val="21"/>
          <w:szCs w:val="21"/>
          <w:lang w:val="zh-CN"/>
        </w:rPr>
        <w:t>）前身为北京海兰信数据记录科技有限公司（以下简称</w:t>
      </w:r>
      <w:r>
        <w:rPr>
          <w:rFonts w:eastAsia="Times New Roman" w:cs="Times New Roman"/>
          <w:kern w:val="0"/>
          <w:sz w:val="21"/>
          <w:szCs w:val="21"/>
          <w:lang w:val="zh-CN"/>
        </w:rPr>
        <w:t>“</w:t>
      </w:r>
      <w:r>
        <w:rPr>
          <w:rFonts w:ascii="宋体" w:hAnsi="宋体" w:hint="eastAsia"/>
          <w:kern w:val="0"/>
          <w:sz w:val="21"/>
          <w:szCs w:val="21"/>
          <w:lang w:val="zh-CN"/>
        </w:rPr>
        <w:t>海兰信数据记录公司</w:t>
      </w:r>
      <w:r>
        <w:rPr>
          <w:rFonts w:eastAsia="Times New Roman" w:cs="Times New Roman"/>
          <w:kern w:val="0"/>
          <w:sz w:val="21"/>
          <w:szCs w:val="21"/>
          <w:lang w:val="zh-CN"/>
        </w:rPr>
        <w:t>”</w:t>
      </w:r>
      <w:r>
        <w:rPr>
          <w:rFonts w:ascii="宋体" w:hAnsi="宋体" w:hint="eastAsia"/>
          <w:kern w:val="0"/>
          <w:sz w:val="21"/>
          <w:szCs w:val="21"/>
          <w:lang w:val="zh-CN"/>
        </w:rPr>
        <w:t>），成立于</w:t>
      </w:r>
      <w:r>
        <w:rPr>
          <w:rFonts w:eastAsia="Times New Roman" w:cs="Times New Roman"/>
          <w:kern w:val="0"/>
          <w:sz w:val="21"/>
          <w:szCs w:val="21"/>
          <w:lang w:val="en-GB"/>
        </w:rPr>
        <w:t>2001</w:t>
      </w:r>
      <w:r>
        <w:rPr>
          <w:rFonts w:ascii="宋体" w:hAnsi="宋体" w:hint="eastAsia"/>
          <w:kern w:val="0"/>
          <w:sz w:val="21"/>
          <w:szCs w:val="21"/>
          <w:lang w:val="zh-CN"/>
        </w:rPr>
        <w:t>年</w:t>
      </w:r>
      <w:r>
        <w:rPr>
          <w:rFonts w:eastAsia="Times New Roman" w:cs="Times New Roman"/>
          <w:kern w:val="0"/>
          <w:sz w:val="21"/>
          <w:szCs w:val="21"/>
          <w:lang w:val="en-GB"/>
        </w:rPr>
        <w:t>2</w:t>
      </w:r>
      <w:r>
        <w:rPr>
          <w:rFonts w:ascii="宋体" w:hAnsi="宋体" w:hint="eastAsia"/>
          <w:kern w:val="0"/>
          <w:sz w:val="21"/>
          <w:szCs w:val="21"/>
          <w:lang w:val="zh-CN"/>
        </w:rPr>
        <w:t>月，注册资本</w:t>
      </w:r>
      <w:r>
        <w:rPr>
          <w:rFonts w:eastAsia="Times New Roman" w:cs="Times New Roman"/>
          <w:kern w:val="0"/>
          <w:sz w:val="21"/>
          <w:szCs w:val="21"/>
          <w:lang w:val="en-GB"/>
        </w:rPr>
        <w:t>100</w:t>
      </w:r>
      <w:r>
        <w:rPr>
          <w:rFonts w:ascii="宋体" w:hAnsi="宋体" w:hint="eastAsia"/>
          <w:kern w:val="0"/>
          <w:sz w:val="21"/>
          <w:szCs w:val="21"/>
          <w:lang w:val="zh-CN"/>
        </w:rPr>
        <w:t>万元。</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eastAsia="Times New Roman" w:cs="Times New Roman"/>
          <w:kern w:val="0"/>
          <w:sz w:val="21"/>
          <w:szCs w:val="21"/>
          <w:lang w:val="en-GB"/>
        </w:rPr>
        <w:t>2008</w:t>
      </w:r>
      <w:r>
        <w:rPr>
          <w:rFonts w:ascii="宋体" w:hAnsi="宋体" w:hint="eastAsia"/>
          <w:kern w:val="0"/>
          <w:sz w:val="21"/>
          <w:szCs w:val="21"/>
          <w:lang w:val="zh-CN"/>
        </w:rPr>
        <w:t>年</w:t>
      </w:r>
      <w:r>
        <w:rPr>
          <w:rFonts w:eastAsia="Times New Roman" w:cs="Times New Roman"/>
          <w:kern w:val="0"/>
          <w:sz w:val="21"/>
          <w:szCs w:val="21"/>
          <w:lang w:val="en-GB"/>
        </w:rPr>
        <w:t>3</w:t>
      </w:r>
      <w:r>
        <w:rPr>
          <w:rFonts w:ascii="宋体" w:hAnsi="宋体" w:hint="eastAsia"/>
          <w:kern w:val="0"/>
          <w:sz w:val="21"/>
          <w:szCs w:val="21"/>
          <w:lang w:val="zh-CN"/>
        </w:rPr>
        <w:t>月，海兰信数据记录公司召开临时股东会，决议将公司整体变更为股份有限公司。本公司注册资本变更为</w:t>
      </w:r>
      <w:r>
        <w:rPr>
          <w:rFonts w:eastAsia="Times New Roman" w:cs="Times New Roman"/>
          <w:kern w:val="0"/>
          <w:sz w:val="21"/>
          <w:szCs w:val="21"/>
          <w:lang w:val="en-GB"/>
        </w:rPr>
        <w:t>3,300</w:t>
      </w:r>
      <w:r>
        <w:rPr>
          <w:rFonts w:ascii="宋体" w:hAnsi="宋体" w:hint="eastAsia"/>
          <w:kern w:val="0"/>
          <w:sz w:val="21"/>
          <w:szCs w:val="21"/>
          <w:lang w:val="zh-CN"/>
        </w:rPr>
        <w:t>万元。</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eastAsia="Times New Roman" w:cs="Times New Roman"/>
          <w:kern w:val="0"/>
          <w:sz w:val="21"/>
          <w:szCs w:val="21"/>
          <w:lang w:val="en-GB"/>
        </w:rPr>
        <w:t>2009</w:t>
      </w:r>
      <w:r>
        <w:rPr>
          <w:rFonts w:ascii="宋体" w:hAnsi="宋体" w:hint="eastAsia"/>
          <w:kern w:val="0"/>
          <w:sz w:val="21"/>
          <w:szCs w:val="21"/>
          <w:lang w:val="zh-CN"/>
        </w:rPr>
        <w:t>年</w:t>
      </w:r>
      <w:r>
        <w:rPr>
          <w:rFonts w:eastAsia="Times New Roman" w:cs="Times New Roman"/>
          <w:kern w:val="0"/>
          <w:sz w:val="21"/>
          <w:szCs w:val="21"/>
          <w:lang w:val="en-GB"/>
        </w:rPr>
        <w:t>3</w:t>
      </w:r>
      <w:r>
        <w:rPr>
          <w:rFonts w:ascii="宋体" w:hAnsi="宋体" w:hint="eastAsia"/>
          <w:kern w:val="0"/>
          <w:sz w:val="21"/>
          <w:szCs w:val="21"/>
          <w:lang w:val="zh-CN"/>
        </w:rPr>
        <w:t>月</w:t>
      </w:r>
      <w:r>
        <w:rPr>
          <w:rFonts w:eastAsia="Times New Roman" w:cs="Times New Roman"/>
          <w:kern w:val="0"/>
          <w:sz w:val="21"/>
          <w:szCs w:val="21"/>
          <w:lang w:val="en-GB"/>
        </w:rPr>
        <w:t>11</w:t>
      </w:r>
      <w:r>
        <w:rPr>
          <w:rFonts w:ascii="宋体" w:hAnsi="宋体" w:hint="eastAsia"/>
          <w:kern w:val="0"/>
          <w:sz w:val="21"/>
          <w:szCs w:val="21"/>
          <w:lang w:val="zh-CN"/>
        </w:rPr>
        <w:t>日，本公司</w:t>
      </w:r>
      <w:r>
        <w:rPr>
          <w:rFonts w:eastAsia="Times New Roman" w:cs="Times New Roman"/>
          <w:kern w:val="0"/>
          <w:sz w:val="21"/>
          <w:szCs w:val="21"/>
          <w:lang w:val="en-GB"/>
        </w:rPr>
        <w:t>2009</w:t>
      </w:r>
      <w:r>
        <w:rPr>
          <w:rFonts w:ascii="宋体" w:hAnsi="宋体" w:hint="eastAsia"/>
          <w:kern w:val="0"/>
          <w:sz w:val="21"/>
          <w:szCs w:val="21"/>
          <w:lang w:val="zh-CN"/>
        </w:rPr>
        <w:t>年第二次临时股东大会通过决议，将公司总股本由</w:t>
      </w:r>
      <w:r>
        <w:rPr>
          <w:rFonts w:eastAsia="Times New Roman" w:cs="Times New Roman"/>
          <w:kern w:val="0"/>
          <w:sz w:val="21"/>
          <w:szCs w:val="21"/>
          <w:lang w:val="en-GB"/>
        </w:rPr>
        <w:t>3300</w:t>
      </w:r>
      <w:r>
        <w:rPr>
          <w:rFonts w:ascii="宋体" w:hAnsi="宋体" w:hint="eastAsia"/>
          <w:kern w:val="0"/>
          <w:sz w:val="21"/>
          <w:szCs w:val="21"/>
          <w:lang w:val="zh-CN"/>
        </w:rPr>
        <w:t>万股增加到</w:t>
      </w:r>
      <w:r>
        <w:rPr>
          <w:rFonts w:eastAsia="Times New Roman" w:cs="Times New Roman"/>
          <w:kern w:val="0"/>
          <w:sz w:val="21"/>
          <w:szCs w:val="21"/>
          <w:lang w:val="en-GB"/>
        </w:rPr>
        <w:t>3854.63</w:t>
      </w:r>
      <w:r>
        <w:rPr>
          <w:rFonts w:ascii="宋体" w:hAnsi="宋体" w:hint="eastAsia"/>
          <w:kern w:val="0"/>
          <w:sz w:val="21"/>
          <w:szCs w:val="21"/>
          <w:lang w:val="zh-CN"/>
        </w:rPr>
        <w:t>万股，新增股本由深圳力合创业投资有限公司以现金认购</w:t>
      </w:r>
      <w:r>
        <w:rPr>
          <w:rFonts w:eastAsia="Times New Roman" w:cs="Times New Roman"/>
          <w:kern w:val="0"/>
          <w:sz w:val="21"/>
          <w:szCs w:val="21"/>
          <w:lang w:val="en-GB"/>
        </w:rPr>
        <w:t>415.97</w:t>
      </w:r>
      <w:r>
        <w:rPr>
          <w:rFonts w:ascii="宋体" w:hAnsi="宋体" w:hint="eastAsia"/>
          <w:kern w:val="0"/>
          <w:sz w:val="21"/>
          <w:szCs w:val="21"/>
          <w:lang w:val="zh-CN"/>
        </w:rPr>
        <w:t>万股，启迪控股以现金认购</w:t>
      </w:r>
      <w:r>
        <w:rPr>
          <w:rFonts w:eastAsia="Times New Roman" w:cs="Times New Roman"/>
          <w:kern w:val="0"/>
          <w:sz w:val="21"/>
          <w:szCs w:val="21"/>
          <w:lang w:val="en-GB"/>
        </w:rPr>
        <w:t>138.66</w:t>
      </w:r>
      <w:r>
        <w:rPr>
          <w:rFonts w:ascii="宋体" w:hAnsi="宋体" w:hint="eastAsia"/>
          <w:kern w:val="0"/>
          <w:sz w:val="21"/>
          <w:szCs w:val="21"/>
          <w:lang w:val="zh-CN"/>
        </w:rPr>
        <w:t>万股。</w:t>
      </w:r>
      <w:r>
        <w:rPr>
          <w:rFonts w:eastAsia="Times New Roman" w:cs="Times New Roman"/>
          <w:kern w:val="0"/>
          <w:sz w:val="21"/>
          <w:szCs w:val="21"/>
          <w:lang w:val="en-GB"/>
        </w:rPr>
        <w:t>2009</w:t>
      </w:r>
      <w:r>
        <w:rPr>
          <w:rFonts w:ascii="宋体" w:hAnsi="宋体" w:hint="eastAsia"/>
          <w:kern w:val="0"/>
          <w:sz w:val="21"/>
          <w:szCs w:val="21"/>
          <w:lang w:val="zh-CN"/>
        </w:rPr>
        <w:t>年</w:t>
      </w:r>
      <w:r>
        <w:rPr>
          <w:rFonts w:eastAsia="Times New Roman" w:cs="Times New Roman"/>
          <w:kern w:val="0"/>
          <w:sz w:val="21"/>
          <w:szCs w:val="21"/>
          <w:lang w:val="en-GB"/>
        </w:rPr>
        <w:t>6</w:t>
      </w:r>
      <w:r>
        <w:rPr>
          <w:rFonts w:ascii="宋体" w:hAnsi="宋体" w:hint="eastAsia"/>
          <w:kern w:val="0"/>
          <w:sz w:val="21"/>
          <w:szCs w:val="21"/>
          <w:lang w:val="zh-CN"/>
        </w:rPr>
        <w:t>月</w:t>
      </w:r>
      <w:r>
        <w:rPr>
          <w:rFonts w:eastAsia="Times New Roman" w:cs="Times New Roman"/>
          <w:kern w:val="0"/>
          <w:sz w:val="21"/>
          <w:szCs w:val="21"/>
          <w:lang w:val="en-GB"/>
        </w:rPr>
        <w:t>18</w:t>
      </w:r>
      <w:r>
        <w:rPr>
          <w:rFonts w:ascii="宋体" w:hAnsi="宋体" w:hint="eastAsia"/>
          <w:kern w:val="0"/>
          <w:sz w:val="21"/>
          <w:szCs w:val="21"/>
          <w:lang w:val="zh-CN"/>
        </w:rPr>
        <w:t>日，本公司</w:t>
      </w:r>
      <w:r>
        <w:rPr>
          <w:rFonts w:eastAsia="Times New Roman" w:cs="Times New Roman"/>
          <w:kern w:val="0"/>
          <w:sz w:val="21"/>
          <w:szCs w:val="21"/>
          <w:lang w:val="en-GB"/>
        </w:rPr>
        <w:t>2009</w:t>
      </w:r>
      <w:r>
        <w:rPr>
          <w:rFonts w:ascii="宋体" w:hAnsi="宋体" w:hint="eastAsia"/>
          <w:kern w:val="0"/>
          <w:sz w:val="21"/>
          <w:szCs w:val="21"/>
          <w:lang w:val="zh-CN"/>
        </w:rPr>
        <w:t>年第三次临时股东大会通过决议，将公司总股本由</w:t>
      </w:r>
      <w:r>
        <w:rPr>
          <w:rFonts w:eastAsia="Times New Roman" w:cs="Times New Roman"/>
          <w:kern w:val="0"/>
          <w:sz w:val="21"/>
          <w:szCs w:val="21"/>
          <w:lang w:val="en-GB"/>
        </w:rPr>
        <w:t>3854.63</w:t>
      </w:r>
      <w:r>
        <w:rPr>
          <w:rFonts w:ascii="宋体" w:hAnsi="宋体" w:hint="eastAsia"/>
          <w:kern w:val="0"/>
          <w:sz w:val="21"/>
          <w:szCs w:val="21"/>
          <w:lang w:val="zh-CN"/>
        </w:rPr>
        <w:t>万股增加到</w:t>
      </w:r>
      <w:r>
        <w:rPr>
          <w:rFonts w:eastAsia="Times New Roman" w:cs="Times New Roman"/>
          <w:kern w:val="0"/>
          <w:sz w:val="21"/>
          <w:szCs w:val="21"/>
          <w:lang w:val="en-GB"/>
        </w:rPr>
        <w:t>4154.63</w:t>
      </w:r>
      <w:r>
        <w:rPr>
          <w:rFonts w:ascii="宋体" w:hAnsi="宋体" w:hint="eastAsia"/>
          <w:kern w:val="0"/>
          <w:sz w:val="21"/>
          <w:szCs w:val="21"/>
          <w:lang w:val="zh-CN"/>
        </w:rPr>
        <w:t>万股，新增股本由中舟海洋装备以现金认购</w:t>
      </w:r>
      <w:r>
        <w:rPr>
          <w:rFonts w:eastAsia="Times New Roman" w:cs="Times New Roman"/>
          <w:kern w:val="0"/>
          <w:sz w:val="21"/>
          <w:szCs w:val="21"/>
          <w:lang w:val="en-GB"/>
        </w:rPr>
        <w:t>200</w:t>
      </w:r>
      <w:r>
        <w:rPr>
          <w:rFonts w:ascii="宋体" w:hAnsi="宋体" w:hint="eastAsia"/>
          <w:kern w:val="0"/>
          <w:sz w:val="21"/>
          <w:szCs w:val="21"/>
          <w:lang w:val="zh-CN"/>
        </w:rPr>
        <w:t>万股，乳山造船以现金认购</w:t>
      </w:r>
      <w:r>
        <w:rPr>
          <w:rFonts w:eastAsia="Times New Roman" w:cs="Times New Roman"/>
          <w:kern w:val="0"/>
          <w:sz w:val="21"/>
          <w:szCs w:val="21"/>
          <w:lang w:val="en-GB"/>
        </w:rPr>
        <w:t>100</w:t>
      </w:r>
      <w:r>
        <w:rPr>
          <w:rFonts w:ascii="宋体" w:hAnsi="宋体" w:hint="eastAsia"/>
          <w:kern w:val="0"/>
          <w:sz w:val="21"/>
          <w:szCs w:val="21"/>
          <w:lang w:val="zh-CN"/>
        </w:rPr>
        <w:t>万股。</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经中国证券监督管理委员会（证监许可</w:t>
      </w:r>
      <w:r>
        <w:rPr>
          <w:rFonts w:eastAsia="Times New Roman" w:cs="Times New Roman"/>
          <w:kern w:val="0"/>
          <w:sz w:val="21"/>
          <w:szCs w:val="21"/>
          <w:lang w:val="en-GB"/>
        </w:rPr>
        <w:t>[2010]268</w:t>
      </w:r>
      <w:r>
        <w:rPr>
          <w:rFonts w:ascii="宋体" w:hAnsi="宋体" w:hint="eastAsia"/>
          <w:kern w:val="0"/>
          <w:sz w:val="21"/>
          <w:szCs w:val="21"/>
          <w:lang w:val="zh-CN"/>
        </w:rPr>
        <w:t>号）批准，本公司于</w:t>
      </w:r>
      <w:r>
        <w:rPr>
          <w:rFonts w:eastAsia="Times New Roman" w:cs="Times New Roman"/>
          <w:kern w:val="0"/>
          <w:sz w:val="21"/>
          <w:szCs w:val="21"/>
          <w:lang w:val="en-GB"/>
        </w:rPr>
        <w:t>2010</w:t>
      </w:r>
      <w:r>
        <w:rPr>
          <w:rFonts w:ascii="宋体" w:hAnsi="宋体" w:hint="eastAsia"/>
          <w:kern w:val="0"/>
          <w:sz w:val="21"/>
          <w:szCs w:val="21"/>
          <w:lang w:val="zh-CN"/>
        </w:rPr>
        <w:t>年</w:t>
      </w:r>
      <w:r>
        <w:rPr>
          <w:rFonts w:eastAsia="Times New Roman" w:cs="Times New Roman"/>
          <w:kern w:val="0"/>
          <w:sz w:val="21"/>
          <w:szCs w:val="21"/>
          <w:lang w:val="en-GB"/>
        </w:rPr>
        <w:t>3</w:t>
      </w:r>
      <w:r>
        <w:rPr>
          <w:rFonts w:ascii="宋体" w:hAnsi="宋体" w:hint="eastAsia"/>
          <w:kern w:val="0"/>
          <w:sz w:val="21"/>
          <w:szCs w:val="21"/>
          <w:lang w:val="zh-CN"/>
        </w:rPr>
        <w:t>月</w:t>
      </w:r>
      <w:r>
        <w:rPr>
          <w:rFonts w:eastAsia="Times New Roman" w:cs="Times New Roman"/>
          <w:kern w:val="0"/>
          <w:sz w:val="21"/>
          <w:szCs w:val="21"/>
          <w:lang w:val="en-GB"/>
        </w:rPr>
        <w:t xml:space="preserve"> 17</w:t>
      </w:r>
      <w:r>
        <w:rPr>
          <w:rFonts w:ascii="宋体" w:hAnsi="宋体" w:hint="eastAsia"/>
          <w:kern w:val="0"/>
          <w:sz w:val="21"/>
          <w:szCs w:val="21"/>
          <w:lang w:val="zh-CN"/>
        </w:rPr>
        <w:t>日公开发行人民币普通股</w:t>
      </w:r>
      <w:r>
        <w:rPr>
          <w:rFonts w:eastAsia="Times New Roman" w:cs="Times New Roman"/>
          <w:kern w:val="0"/>
          <w:sz w:val="21"/>
          <w:szCs w:val="21"/>
          <w:lang w:val="en-GB"/>
        </w:rPr>
        <w:t>1,385</w:t>
      </w:r>
      <w:r>
        <w:rPr>
          <w:rFonts w:ascii="宋体" w:hAnsi="宋体" w:hint="eastAsia"/>
          <w:kern w:val="0"/>
          <w:sz w:val="21"/>
          <w:szCs w:val="21"/>
          <w:lang w:val="zh-CN"/>
        </w:rPr>
        <w:t>万股，并于</w:t>
      </w:r>
      <w:r>
        <w:rPr>
          <w:rFonts w:eastAsia="Times New Roman" w:cs="Times New Roman"/>
          <w:kern w:val="0"/>
          <w:sz w:val="21"/>
          <w:szCs w:val="21"/>
          <w:lang w:val="en-GB"/>
        </w:rPr>
        <w:t>2010</w:t>
      </w:r>
      <w:r>
        <w:rPr>
          <w:rFonts w:ascii="宋体" w:hAnsi="宋体" w:hint="eastAsia"/>
          <w:kern w:val="0"/>
          <w:sz w:val="21"/>
          <w:szCs w:val="21"/>
          <w:lang w:val="zh-CN"/>
        </w:rPr>
        <w:t>年</w:t>
      </w:r>
      <w:r>
        <w:rPr>
          <w:rFonts w:eastAsia="Times New Roman" w:cs="Times New Roman"/>
          <w:kern w:val="0"/>
          <w:sz w:val="21"/>
          <w:szCs w:val="21"/>
          <w:lang w:val="en-GB"/>
        </w:rPr>
        <w:t>3</w:t>
      </w:r>
      <w:r>
        <w:rPr>
          <w:rFonts w:ascii="宋体" w:hAnsi="宋体" w:hint="eastAsia"/>
          <w:kern w:val="0"/>
          <w:sz w:val="21"/>
          <w:szCs w:val="21"/>
          <w:lang w:val="zh-CN"/>
        </w:rPr>
        <w:t>月</w:t>
      </w:r>
      <w:r>
        <w:rPr>
          <w:rFonts w:eastAsia="Times New Roman" w:cs="Times New Roman"/>
          <w:kern w:val="0"/>
          <w:sz w:val="21"/>
          <w:szCs w:val="21"/>
          <w:lang w:val="en-GB"/>
        </w:rPr>
        <w:t>26</w:t>
      </w:r>
      <w:r>
        <w:rPr>
          <w:rFonts w:ascii="宋体" w:hAnsi="宋体" w:hint="eastAsia"/>
          <w:kern w:val="0"/>
          <w:sz w:val="21"/>
          <w:szCs w:val="21"/>
          <w:lang w:val="zh-CN"/>
        </w:rPr>
        <w:t>日在深圳证券交易所创业板上市交易，共募集资金净额</w:t>
      </w:r>
      <w:r>
        <w:rPr>
          <w:rFonts w:eastAsia="Times New Roman" w:cs="Times New Roman"/>
          <w:kern w:val="0"/>
          <w:sz w:val="21"/>
          <w:szCs w:val="21"/>
          <w:lang w:val="en-GB"/>
        </w:rPr>
        <w:t>42,231.78</w:t>
      </w:r>
      <w:r>
        <w:rPr>
          <w:rFonts w:ascii="宋体" w:hAnsi="宋体" w:hint="eastAsia"/>
          <w:kern w:val="0"/>
          <w:sz w:val="21"/>
          <w:szCs w:val="21"/>
          <w:lang w:val="zh-CN"/>
        </w:rPr>
        <w:t>万元</w:t>
      </w:r>
      <w:r>
        <w:rPr>
          <w:rFonts w:eastAsia="Times New Roman" w:cs="Times New Roman"/>
          <w:kern w:val="0"/>
          <w:sz w:val="21"/>
          <w:szCs w:val="21"/>
          <w:lang w:val="en-GB"/>
        </w:rPr>
        <w:t>(</w:t>
      </w:r>
      <w:r>
        <w:rPr>
          <w:rFonts w:ascii="宋体" w:hAnsi="宋体" w:hint="eastAsia"/>
          <w:kern w:val="0"/>
          <w:sz w:val="21"/>
          <w:szCs w:val="21"/>
          <w:lang w:val="zh-CN"/>
        </w:rPr>
        <w:t>其中股本</w:t>
      </w:r>
      <w:r>
        <w:rPr>
          <w:rFonts w:eastAsia="Times New Roman" w:cs="Times New Roman"/>
          <w:kern w:val="0"/>
          <w:sz w:val="21"/>
          <w:szCs w:val="21"/>
          <w:lang w:val="en-GB"/>
        </w:rPr>
        <w:t>1,385</w:t>
      </w:r>
      <w:r>
        <w:rPr>
          <w:rFonts w:ascii="宋体" w:hAnsi="宋体" w:hint="eastAsia"/>
          <w:kern w:val="0"/>
          <w:sz w:val="21"/>
          <w:szCs w:val="21"/>
          <w:lang w:val="zh-CN"/>
        </w:rPr>
        <w:t>万元，资本公积</w:t>
      </w:r>
      <w:r>
        <w:rPr>
          <w:rFonts w:eastAsia="Times New Roman" w:cs="Times New Roman"/>
          <w:kern w:val="0"/>
          <w:sz w:val="21"/>
          <w:szCs w:val="21"/>
          <w:lang w:val="en-GB"/>
        </w:rPr>
        <w:t>40,846.78</w:t>
      </w:r>
      <w:r>
        <w:rPr>
          <w:rFonts w:ascii="宋体" w:hAnsi="宋体" w:hint="eastAsia"/>
          <w:kern w:val="0"/>
          <w:sz w:val="21"/>
          <w:szCs w:val="21"/>
          <w:lang w:val="zh-CN"/>
        </w:rPr>
        <w:t>万元</w:t>
      </w:r>
      <w:r>
        <w:rPr>
          <w:rFonts w:eastAsia="Times New Roman" w:cs="Times New Roman"/>
          <w:kern w:val="0"/>
          <w:sz w:val="21"/>
          <w:szCs w:val="21"/>
          <w:lang w:val="en-GB"/>
        </w:rPr>
        <w:t>),</w:t>
      </w:r>
      <w:r>
        <w:rPr>
          <w:rFonts w:ascii="宋体" w:hAnsi="宋体" w:hint="eastAsia"/>
          <w:kern w:val="0"/>
          <w:sz w:val="21"/>
          <w:szCs w:val="21"/>
          <w:lang w:val="zh-CN"/>
        </w:rPr>
        <w:t>上述募集资金业经中瑞岳华会计师事务所有限公司中瑞岳华验字</w:t>
      </w:r>
      <w:r>
        <w:rPr>
          <w:rFonts w:eastAsia="Times New Roman" w:cs="Times New Roman"/>
          <w:kern w:val="0"/>
          <w:sz w:val="21"/>
          <w:szCs w:val="21"/>
          <w:lang w:val="en-GB"/>
        </w:rPr>
        <w:t>[2010]</w:t>
      </w:r>
      <w:r>
        <w:rPr>
          <w:rFonts w:ascii="宋体" w:hAnsi="宋体" w:hint="eastAsia"/>
          <w:kern w:val="0"/>
          <w:sz w:val="21"/>
          <w:szCs w:val="21"/>
          <w:lang w:val="zh-CN"/>
        </w:rPr>
        <w:t>第</w:t>
      </w:r>
      <w:r>
        <w:rPr>
          <w:rFonts w:eastAsia="Times New Roman" w:cs="Times New Roman"/>
          <w:kern w:val="0"/>
          <w:sz w:val="21"/>
          <w:szCs w:val="21"/>
          <w:lang w:val="en-GB"/>
        </w:rPr>
        <w:t>061</w:t>
      </w:r>
      <w:r>
        <w:rPr>
          <w:rFonts w:ascii="宋体" w:hAnsi="宋体" w:hint="eastAsia"/>
          <w:kern w:val="0"/>
          <w:sz w:val="21"/>
          <w:szCs w:val="21"/>
          <w:lang w:val="zh-CN"/>
        </w:rPr>
        <w:t>号验资报告审验。</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eastAsia="Times New Roman" w:cs="Times New Roman"/>
          <w:kern w:val="0"/>
          <w:sz w:val="21"/>
          <w:szCs w:val="21"/>
          <w:lang w:val="en-GB"/>
        </w:rPr>
        <w:t>2010</w:t>
      </w:r>
      <w:r>
        <w:rPr>
          <w:rFonts w:ascii="宋体" w:hAnsi="宋体" w:hint="eastAsia"/>
          <w:kern w:val="0"/>
          <w:sz w:val="21"/>
          <w:szCs w:val="21"/>
          <w:lang w:val="zh-CN"/>
        </w:rPr>
        <w:t>年</w:t>
      </w:r>
      <w:r>
        <w:rPr>
          <w:rFonts w:eastAsia="Times New Roman" w:cs="Times New Roman"/>
          <w:kern w:val="0"/>
          <w:sz w:val="21"/>
          <w:szCs w:val="21"/>
          <w:lang w:val="en-GB"/>
        </w:rPr>
        <w:t>6</w:t>
      </w:r>
      <w:r>
        <w:rPr>
          <w:rFonts w:ascii="宋体" w:hAnsi="宋体" w:hint="eastAsia"/>
          <w:kern w:val="0"/>
          <w:sz w:val="21"/>
          <w:szCs w:val="21"/>
          <w:lang w:val="zh-CN"/>
        </w:rPr>
        <w:t>月</w:t>
      </w:r>
      <w:r>
        <w:rPr>
          <w:rFonts w:eastAsia="Times New Roman" w:cs="Times New Roman"/>
          <w:kern w:val="0"/>
          <w:sz w:val="21"/>
          <w:szCs w:val="21"/>
          <w:lang w:val="en-GB"/>
        </w:rPr>
        <w:t>13</w:t>
      </w:r>
      <w:r>
        <w:rPr>
          <w:rFonts w:ascii="宋体" w:hAnsi="宋体" w:hint="eastAsia"/>
          <w:kern w:val="0"/>
          <w:sz w:val="21"/>
          <w:szCs w:val="21"/>
          <w:lang w:val="zh-CN"/>
        </w:rPr>
        <w:t>日，根据</w:t>
      </w:r>
      <w:r>
        <w:rPr>
          <w:rFonts w:eastAsia="Times New Roman" w:cs="Times New Roman"/>
          <w:kern w:val="0"/>
          <w:sz w:val="21"/>
          <w:szCs w:val="21"/>
          <w:lang w:val="en-GB"/>
        </w:rPr>
        <w:t>2009</w:t>
      </w:r>
      <w:r>
        <w:rPr>
          <w:rFonts w:ascii="宋体" w:hAnsi="宋体" w:hint="eastAsia"/>
          <w:kern w:val="0"/>
          <w:sz w:val="21"/>
          <w:szCs w:val="21"/>
          <w:lang w:val="zh-CN"/>
        </w:rPr>
        <w:t>年年度股东大会的决议，将公司总股本由</w:t>
      </w:r>
      <w:r>
        <w:rPr>
          <w:rFonts w:eastAsia="Times New Roman" w:cs="Times New Roman"/>
          <w:kern w:val="0"/>
          <w:sz w:val="21"/>
          <w:szCs w:val="21"/>
          <w:lang w:val="en-GB"/>
        </w:rPr>
        <w:t>4,154.63</w:t>
      </w:r>
      <w:r>
        <w:rPr>
          <w:rFonts w:ascii="宋体" w:hAnsi="宋体" w:hint="eastAsia"/>
          <w:kern w:val="0"/>
          <w:sz w:val="21"/>
          <w:szCs w:val="21"/>
          <w:lang w:val="zh-CN"/>
        </w:rPr>
        <w:t>万股变更为</w:t>
      </w:r>
      <w:r>
        <w:rPr>
          <w:rFonts w:eastAsia="Times New Roman" w:cs="Times New Roman"/>
          <w:kern w:val="0"/>
          <w:sz w:val="21"/>
          <w:szCs w:val="21"/>
          <w:lang w:val="en-GB"/>
        </w:rPr>
        <w:t>5,539.63</w:t>
      </w:r>
      <w:r>
        <w:rPr>
          <w:rFonts w:ascii="宋体" w:hAnsi="宋体" w:hint="eastAsia"/>
          <w:kern w:val="0"/>
          <w:sz w:val="21"/>
          <w:szCs w:val="21"/>
          <w:lang w:val="zh-CN"/>
        </w:rPr>
        <w:t>万股。</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eastAsia="Times New Roman" w:cs="Times New Roman"/>
          <w:kern w:val="0"/>
          <w:sz w:val="21"/>
          <w:szCs w:val="21"/>
          <w:lang w:val="en-GB"/>
        </w:rPr>
        <w:t>2012</w:t>
      </w:r>
      <w:r>
        <w:rPr>
          <w:rFonts w:ascii="宋体" w:hAnsi="宋体" w:hint="eastAsia"/>
          <w:kern w:val="0"/>
          <w:sz w:val="21"/>
          <w:szCs w:val="21"/>
          <w:lang w:val="zh-CN"/>
        </w:rPr>
        <w:t>年</w:t>
      </w:r>
      <w:r>
        <w:rPr>
          <w:rFonts w:eastAsia="Times New Roman" w:cs="Times New Roman"/>
          <w:kern w:val="0"/>
          <w:sz w:val="21"/>
          <w:szCs w:val="21"/>
          <w:lang w:val="en-GB"/>
        </w:rPr>
        <w:t>5</w:t>
      </w:r>
      <w:r>
        <w:rPr>
          <w:rFonts w:ascii="宋体" w:hAnsi="宋体" w:hint="eastAsia"/>
          <w:kern w:val="0"/>
          <w:sz w:val="21"/>
          <w:szCs w:val="21"/>
          <w:lang w:val="zh-CN"/>
        </w:rPr>
        <w:t>月，本公司</w:t>
      </w:r>
      <w:r>
        <w:rPr>
          <w:rFonts w:eastAsia="Times New Roman" w:cs="Times New Roman"/>
          <w:kern w:val="0"/>
          <w:sz w:val="21"/>
          <w:szCs w:val="21"/>
          <w:lang w:val="en-GB"/>
        </w:rPr>
        <w:t>2011</w:t>
      </w:r>
      <w:r>
        <w:rPr>
          <w:rFonts w:ascii="宋体" w:hAnsi="宋体" w:hint="eastAsia"/>
          <w:kern w:val="0"/>
          <w:sz w:val="21"/>
          <w:szCs w:val="21"/>
          <w:lang w:val="zh-CN"/>
        </w:rPr>
        <w:t>年度股东大会决议通过</w:t>
      </w:r>
      <w:r>
        <w:rPr>
          <w:rFonts w:eastAsia="Times New Roman" w:cs="Times New Roman"/>
          <w:kern w:val="0"/>
          <w:sz w:val="21"/>
          <w:szCs w:val="21"/>
          <w:lang w:val="en-GB"/>
        </w:rPr>
        <w:t xml:space="preserve">2011 </w:t>
      </w:r>
      <w:r>
        <w:rPr>
          <w:rFonts w:ascii="宋体" w:hAnsi="宋体" w:hint="eastAsia"/>
          <w:kern w:val="0"/>
          <w:sz w:val="21"/>
          <w:szCs w:val="21"/>
          <w:lang w:val="zh-CN"/>
        </w:rPr>
        <w:t>年度利润分配预案，以</w:t>
      </w:r>
      <w:r>
        <w:rPr>
          <w:rFonts w:eastAsia="Times New Roman" w:cs="Times New Roman"/>
          <w:kern w:val="0"/>
          <w:sz w:val="21"/>
          <w:szCs w:val="21"/>
          <w:lang w:val="en-GB"/>
        </w:rPr>
        <w:t>2011</w:t>
      </w:r>
      <w:r>
        <w:rPr>
          <w:rFonts w:ascii="宋体" w:hAnsi="宋体" w:hint="eastAsia"/>
          <w:kern w:val="0"/>
          <w:sz w:val="21"/>
          <w:szCs w:val="21"/>
          <w:lang w:val="zh-CN"/>
        </w:rPr>
        <w:t>年</w:t>
      </w:r>
      <w:r>
        <w:rPr>
          <w:rFonts w:eastAsia="Times New Roman" w:cs="Times New Roman"/>
          <w:kern w:val="0"/>
          <w:sz w:val="21"/>
          <w:szCs w:val="21"/>
          <w:lang w:val="en-GB"/>
        </w:rPr>
        <w:t>12</w:t>
      </w:r>
      <w:r>
        <w:rPr>
          <w:rFonts w:ascii="宋体" w:hAnsi="宋体" w:hint="eastAsia"/>
          <w:kern w:val="0"/>
          <w:sz w:val="21"/>
          <w:szCs w:val="21"/>
          <w:lang w:val="zh-CN"/>
        </w:rPr>
        <w:t>月</w:t>
      </w:r>
      <w:r>
        <w:rPr>
          <w:rFonts w:eastAsia="Times New Roman" w:cs="Times New Roman"/>
          <w:kern w:val="0"/>
          <w:sz w:val="21"/>
          <w:szCs w:val="21"/>
          <w:lang w:val="en-GB"/>
        </w:rPr>
        <w:t xml:space="preserve">31 </w:t>
      </w:r>
      <w:r>
        <w:rPr>
          <w:rFonts w:ascii="宋体" w:hAnsi="宋体" w:hint="eastAsia"/>
          <w:kern w:val="0"/>
          <w:sz w:val="21"/>
          <w:szCs w:val="21"/>
          <w:lang w:val="zh-CN"/>
        </w:rPr>
        <w:t>日公司总股本</w:t>
      </w:r>
      <w:r>
        <w:rPr>
          <w:rFonts w:eastAsia="Times New Roman" w:cs="Times New Roman"/>
          <w:kern w:val="0"/>
          <w:sz w:val="21"/>
          <w:szCs w:val="21"/>
          <w:lang w:val="en-GB"/>
        </w:rPr>
        <w:t>55,396,300</w:t>
      </w:r>
      <w:r>
        <w:rPr>
          <w:rFonts w:ascii="宋体" w:hAnsi="宋体" w:hint="eastAsia"/>
          <w:kern w:val="0"/>
          <w:sz w:val="21"/>
          <w:szCs w:val="21"/>
          <w:lang w:val="zh-CN"/>
        </w:rPr>
        <w:t>股为基数，以资本公积金向全体股东每</w:t>
      </w:r>
      <w:r>
        <w:rPr>
          <w:rFonts w:eastAsia="Times New Roman" w:cs="Times New Roman"/>
          <w:kern w:val="0"/>
          <w:sz w:val="21"/>
          <w:szCs w:val="21"/>
          <w:lang w:val="en-GB"/>
        </w:rPr>
        <w:t>10</w:t>
      </w:r>
      <w:r>
        <w:rPr>
          <w:rFonts w:ascii="宋体" w:hAnsi="宋体" w:hint="eastAsia"/>
          <w:kern w:val="0"/>
          <w:sz w:val="21"/>
          <w:szCs w:val="21"/>
          <w:lang w:val="zh-CN"/>
        </w:rPr>
        <w:t>股转增</w:t>
      </w:r>
      <w:r>
        <w:rPr>
          <w:rFonts w:eastAsia="Times New Roman" w:cs="Times New Roman"/>
          <w:kern w:val="0"/>
          <w:sz w:val="21"/>
          <w:szCs w:val="21"/>
          <w:lang w:val="en-GB"/>
        </w:rPr>
        <w:t>9</w:t>
      </w:r>
      <w:r>
        <w:rPr>
          <w:rFonts w:ascii="宋体" w:hAnsi="宋体" w:hint="eastAsia"/>
          <w:kern w:val="0"/>
          <w:sz w:val="21"/>
          <w:szCs w:val="21"/>
          <w:lang w:val="zh-CN"/>
        </w:rPr>
        <w:t>股，共计</w:t>
      </w:r>
      <w:r>
        <w:rPr>
          <w:rFonts w:eastAsia="Times New Roman" w:cs="Times New Roman"/>
          <w:kern w:val="0"/>
          <w:sz w:val="21"/>
          <w:szCs w:val="21"/>
          <w:lang w:val="en-GB"/>
        </w:rPr>
        <w:t xml:space="preserve"> 49,856,670</w:t>
      </w:r>
      <w:r>
        <w:rPr>
          <w:rFonts w:ascii="宋体" w:hAnsi="宋体" w:hint="eastAsia"/>
          <w:kern w:val="0"/>
          <w:sz w:val="21"/>
          <w:szCs w:val="21"/>
          <w:lang w:val="zh-CN"/>
        </w:rPr>
        <w:t>股，分红后总股本增至</w:t>
      </w:r>
      <w:r>
        <w:rPr>
          <w:rFonts w:eastAsia="Times New Roman" w:cs="Times New Roman"/>
          <w:kern w:val="0"/>
          <w:sz w:val="21"/>
          <w:szCs w:val="21"/>
          <w:lang w:val="en-GB"/>
        </w:rPr>
        <w:t>105,252,970</w:t>
      </w:r>
      <w:r>
        <w:rPr>
          <w:rFonts w:ascii="宋体" w:hAnsi="宋体" w:hint="eastAsia"/>
          <w:kern w:val="0"/>
          <w:sz w:val="21"/>
          <w:szCs w:val="21"/>
          <w:lang w:val="zh-CN"/>
        </w:rPr>
        <w:t>股。</w:t>
      </w:r>
      <w:r>
        <w:rPr>
          <w:rFonts w:eastAsia="Times New Roman" w:cs="Times New Roman"/>
          <w:kern w:val="0"/>
          <w:sz w:val="21"/>
          <w:szCs w:val="21"/>
          <w:lang w:val="en-GB"/>
        </w:rPr>
        <w:t xml:space="preserve"> </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eastAsia="Times New Roman" w:cs="Times New Roman"/>
          <w:kern w:val="0"/>
          <w:sz w:val="21"/>
          <w:szCs w:val="21"/>
          <w:lang w:val="en-GB"/>
        </w:rPr>
        <w:t>2014</w:t>
      </w:r>
      <w:r>
        <w:rPr>
          <w:rFonts w:ascii="宋体" w:hAnsi="宋体" w:hint="eastAsia"/>
          <w:kern w:val="0"/>
          <w:sz w:val="21"/>
          <w:szCs w:val="21"/>
          <w:lang w:val="zh-CN"/>
        </w:rPr>
        <w:t>年</w:t>
      </w:r>
      <w:r>
        <w:rPr>
          <w:rFonts w:eastAsia="Times New Roman" w:cs="Times New Roman"/>
          <w:kern w:val="0"/>
          <w:sz w:val="21"/>
          <w:szCs w:val="21"/>
          <w:lang w:val="en-GB"/>
        </w:rPr>
        <w:t>5</w:t>
      </w:r>
      <w:r>
        <w:rPr>
          <w:rFonts w:ascii="宋体" w:hAnsi="宋体" w:hint="eastAsia"/>
          <w:kern w:val="0"/>
          <w:sz w:val="21"/>
          <w:szCs w:val="21"/>
          <w:lang w:val="zh-CN"/>
        </w:rPr>
        <w:t>月，本公司</w:t>
      </w:r>
      <w:r>
        <w:rPr>
          <w:rFonts w:eastAsia="Times New Roman" w:cs="Times New Roman"/>
          <w:kern w:val="0"/>
          <w:sz w:val="21"/>
          <w:szCs w:val="21"/>
          <w:lang w:val="en-GB"/>
        </w:rPr>
        <w:t>2013</w:t>
      </w:r>
      <w:r>
        <w:rPr>
          <w:rFonts w:ascii="宋体" w:hAnsi="宋体" w:hint="eastAsia"/>
          <w:kern w:val="0"/>
          <w:sz w:val="21"/>
          <w:szCs w:val="21"/>
          <w:lang w:val="zh-CN"/>
        </w:rPr>
        <w:t>年度股东大会审议通过</w:t>
      </w:r>
      <w:r>
        <w:rPr>
          <w:rFonts w:eastAsia="Times New Roman" w:cs="Times New Roman"/>
          <w:kern w:val="0"/>
          <w:sz w:val="21"/>
          <w:szCs w:val="21"/>
          <w:lang w:val="en-GB"/>
        </w:rPr>
        <w:t>2013</w:t>
      </w:r>
      <w:r>
        <w:rPr>
          <w:rFonts w:ascii="宋体" w:hAnsi="宋体" w:hint="eastAsia"/>
          <w:kern w:val="0"/>
          <w:sz w:val="21"/>
          <w:szCs w:val="21"/>
          <w:lang w:val="zh-CN"/>
        </w:rPr>
        <w:t>年度权益分派方案，本公司以资本公积金转增股本，向全体股东每</w:t>
      </w:r>
      <w:r>
        <w:rPr>
          <w:rFonts w:eastAsia="Times New Roman" w:cs="Times New Roman"/>
          <w:kern w:val="0"/>
          <w:sz w:val="21"/>
          <w:szCs w:val="21"/>
          <w:lang w:val="en-GB"/>
        </w:rPr>
        <w:t>10</w:t>
      </w:r>
      <w:r>
        <w:rPr>
          <w:rFonts w:ascii="宋体" w:hAnsi="宋体" w:hint="eastAsia"/>
          <w:kern w:val="0"/>
          <w:sz w:val="21"/>
          <w:szCs w:val="21"/>
          <w:lang w:val="zh-CN"/>
        </w:rPr>
        <w:t>股增派</w:t>
      </w:r>
      <w:r>
        <w:rPr>
          <w:rFonts w:eastAsia="Times New Roman" w:cs="Times New Roman"/>
          <w:kern w:val="0"/>
          <w:sz w:val="21"/>
          <w:szCs w:val="21"/>
          <w:lang w:val="en-GB"/>
        </w:rPr>
        <w:t>10</w:t>
      </w:r>
      <w:r>
        <w:rPr>
          <w:rFonts w:ascii="宋体" w:hAnsi="宋体" w:hint="eastAsia"/>
          <w:kern w:val="0"/>
          <w:sz w:val="21"/>
          <w:szCs w:val="21"/>
          <w:lang w:val="zh-CN"/>
        </w:rPr>
        <w:t>股，共计转增股本</w:t>
      </w:r>
      <w:r>
        <w:rPr>
          <w:rFonts w:eastAsia="Times New Roman" w:cs="Times New Roman"/>
          <w:kern w:val="0"/>
          <w:sz w:val="21"/>
          <w:szCs w:val="21"/>
          <w:lang w:val="en-GB"/>
        </w:rPr>
        <w:t>105,252,970</w:t>
      </w:r>
      <w:r>
        <w:rPr>
          <w:rFonts w:ascii="宋体" w:hAnsi="宋体" w:hint="eastAsia"/>
          <w:kern w:val="0"/>
          <w:sz w:val="21"/>
          <w:szCs w:val="21"/>
          <w:lang w:val="zh-CN"/>
        </w:rPr>
        <w:t>股。转增后，本公司总股本为</w:t>
      </w:r>
      <w:r>
        <w:rPr>
          <w:rFonts w:eastAsia="Times New Roman" w:cs="Times New Roman"/>
          <w:kern w:val="0"/>
          <w:sz w:val="21"/>
          <w:szCs w:val="21"/>
          <w:lang w:val="en-GB"/>
        </w:rPr>
        <w:t xml:space="preserve">210,505,940 </w:t>
      </w:r>
      <w:r>
        <w:rPr>
          <w:rFonts w:ascii="宋体" w:hAnsi="宋体" w:hint="eastAsia"/>
          <w:kern w:val="0"/>
          <w:sz w:val="21"/>
          <w:szCs w:val="21"/>
          <w:lang w:val="zh-CN"/>
        </w:rPr>
        <w:t>股。</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eastAsia="Times New Roman" w:cs="Times New Roman"/>
          <w:kern w:val="0"/>
          <w:sz w:val="21"/>
          <w:szCs w:val="21"/>
          <w:lang w:val="en-GB"/>
        </w:rPr>
        <w:t>2015</w:t>
      </w:r>
      <w:r>
        <w:rPr>
          <w:rFonts w:ascii="宋体" w:hAnsi="宋体" w:hint="eastAsia"/>
          <w:kern w:val="0"/>
          <w:sz w:val="21"/>
          <w:szCs w:val="21"/>
          <w:lang w:val="zh-CN"/>
        </w:rPr>
        <w:t>年</w:t>
      </w:r>
      <w:r>
        <w:rPr>
          <w:rFonts w:eastAsia="Times New Roman" w:cs="Times New Roman"/>
          <w:kern w:val="0"/>
          <w:sz w:val="21"/>
          <w:szCs w:val="21"/>
          <w:lang w:val="en-GB"/>
        </w:rPr>
        <w:t>12</w:t>
      </w:r>
      <w:r>
        <w:rPr>
          <w:rFonts w:ascii="宋体" w:hAnsi="宋体" w:hint="eastAsia"/>
          <w:kern w:val="0"/>
          <w:sz w:val="21"/>
          <w:szCs w:val="21"/>
          <w:lang w:val="zh-CN"/>
        </w:rPr>
        <w:t>月</w:t>
      </w:r>
      <w:r>
        <w:rPr>
          <w:rFonts w:eastAsia="Times New Roman" w:cs="Times New Roman"/>
          <w:kern w:val="0"/>
          <w:sz w:val="21"/>
          <w:szCs w:val="21"/>
          <w:lang w:val="en-GB"/>
        </w:rPr>
        <w:t>25</w:t>
      </w:r>
      <w:r>
        <w:rPr>
          <w:rFonts w:ascii="宋体" w:hAnsi="宋体" w:hint="eastAsia"/>
          <w:kern w:val="0"/>
          <w:sz w:val="21"/>
          <w:szCs w:val="21"/>
          <w:lang w:val="zh-CN"/>
        </w:rPr>
        <w:t>日，本公司取得了中国证监会《关于核准北京海兰信数据科技股份有限公司向申万秋等发行股份购买资产的批复》（证监许可</w:t>
      </w:r>
      <w:r>
        <w:rPr>
          <w:rFonts w:eastAsia="Times New Roman" w:cs="Times New Roman"/>
          <w:kern w:val="0"/>
          <w:sz w:val="21"/>
          <w:szCs w:val="21"/>
          <w:lang w:val="en-GB"/>
        </w:rPr>
        <w:t>[2015]3008</w:t>
      </w:r>
      <w:r>
        <w:rPr>
          <w:rFonts w:ascii="宋体" w:hAnsi="宋体" w:hint="eastAsia"/>
          <w:kern w:val="0"/>
          <w:sz w:val="21"/>
          <w:szCs w:val="21"/>
          <w:lang w:val="zh-CN"/>
        </w:rPr>
        <w:t>号），核准公司分别向申万秋及上海言盛投资合伙企业（有限合伙）发行</w:t>
      </w:r>
      <w:r>
        <w:rPr>
          <w:rFonts w:eastAsia="Times New Roman" w:cs="Times New Roman"/>
          <w:kern w:val="0"/>
          <w:sz w:val="21"/>
          <w:szCs w:val="21"/>
          <w:lang w:val="en-GB"/>
        </w:rPr>
        <w:t>11,292,621</w:t>
      </w:r>
      <w:r>
        <w:rPr>
          <w:rFonts w:ascii="宋体" w:hAnsi="宋体" w:hint="eastAsia"/>
          <w:kern w:val="0"/>
          <w:sz w:val="21"/>
          <w:szCs w:val="21"/>
          <w:lang w:val="zh-CN"/>
        </w:rPr>
        <w:t>股及</w:t>
      </w:r>
      <w:r>
        <w:rPr>
          <w:rFonts w:eastAsia="Times New Roman" w:cs="Times New Roman"/>
          <w:kern w:val="0"/>
          <w:sz w:val="21"/>
          <w:szCs w:val="21"/>
          <w:lang w:val="en-GB"/>
        </w:rPr>
        <w:t>19,762,087</w:t>
      </w:r>
      <w:r>
        <w:rPr>
          <w:rFonts w:ascii="宋体" w:hAnsi="宋体" w:hint="eastAsia"/>
          <w:kern w:val="0"/>
          <w:sz w:val="21"/>
          <w:szCs w:val="21"/>
          <w:lang w:val="zh-CN"/>
        </w:rPr>
        <w:t>股股份购买相关资产。本次发行股份增加股本</w:t>
      </w:r>
      <w:r>
        <w:rPr>
          <w:rFonts w:eastAsia="Times New Roman" w:cs="Times New Roman"/>
          <w:kern w:val="0"/>
          <w:sz w:val="21"/>
          <w:szCs w:val="21"/>
          <w:lang w:val="en-GB"/>
        </w:rPr>
        <w:t>31,054,708.00</w:t>
      </w:r>
      <w:r>
        <w:rPr>
          <w:rFonts w:ascii="宋体" w:hAnsi="宋体" w:hint="eastAsia"/>
          <w:kern w:val="0"/>
          <w:sz w:val="21"/>
          <w:szCs w:val="21"/>
          <w:lang w:val="zh-CN"/>
        </w:rPr>
        <w:t>元，增加资本公积</w:t>
      </w:r>
      <w:r>
        <w:rPr>
          <w:rFonts w:eastAsia="Times New Roman" w:cs="Times New Roman"/>
          <w:kern w:val="0"/>
          <w:sz w:val="21"/>
          <w:szCs w:val="21"/>
          <w:lang w:val="en-GB"/>
        </w:rPr>
        <w:t>513,913,216.52</w:t>
      </w:r>
      <w:r>
        <w:rPr>
          <w:rFonts w:ascii="宋体" w:hAnsi="宋体" w:hint="eastAsia"/>
          <w:kern w:val="0"/>
          <w:sz w:val="21"/>
          <w:szCs w:val="21"/>
          <w:lang w:val="zh-CN"/>
        </w:rPr>
        <w:t>元，业经天职国际会计师事务所（特殊普通合伙）于</w:t>
      </w:r>
      <w:r>
        <w:rPr>
          <w:rFonts w:eastAsia="Times New Roman" w:cs="Times New Roman"/>
          <w:kern w:val="0"/>
          <w:sz w:val="21"/>
          <w:szCs w:val="21"/>
          <w:lang w:val="en-GB"/>
        </w:rPr>
        <w:t>2015</w:t>
      </w:r>
      <w:r>
        <w:rPr>
          <w:rFonts w:ascii="宋体" w:hAnsi="宋体" w:hint="eastAsia"/>
          <w:kern w:val="0"/>
          <w:sz w:val="21"/>
          <w:szCs w:val="21"/>
          <w:lang w:val="zh-CN"/>
        </w:rPr>
        <w:t>年</w:t>
      </w:r>
      <w:r>
        <w:rPr>
          <w:rFonts w:eastAsia="Times New Roman" w:cs="Times New Roman"/>
          <w:kern w:val="0"/>
          <w:sz w:val="21"/>
          <w:szCs w:val="21"/>
          <w:lang w:val="en-GB"/>
        </w:rPr>
        <w:t>12</w:t>
      </w:r>
      <w:r>
        <w:rPr>
          <w:rFonts w:ascii="宋体" w:hAnsi="宋体" w:hint="eastAsia"/>
          <w:kern w:val="0"/>
          <w:sz w:val="21"/>
          <w:szCs w:val="21"/>
          <w:lang w:val="zh-CN"/>
        </w:rPr>
        <w:t>月</w:t>
      </w:r>
      <w:r>
        <w:rPr>
          <w:rFonts w:eastAsia="Times New Roman" w:cs="Times New Roman"/>
          <w:kern w:val="0"/>
          <w:sz w:val="21"/>
          <w:szCs w:val="21"/>
          <w:lang w:val="en-GB"/>
        </w:rPr>
        <w:t>28</w:t>
      </w:r>
      <w:r>
        <w:rPr>
          <w:rFonts w:ascii="宋体" w:hAnsi="宋体" w:hint="eastAsia"/>
          <w:kern w:val="0"/>
          <w:sz w:val="21"/>
          <w:szCs w:val="21"/>
          <w:lang w:val="zh-CN"/>
        </w:rPr>
        <w:t>日出具的《北京海兰信数据科技股份有限公司验资报告》</w:t>
      </w:r>
      <w:r>
        <w:rPr>
          <w:rFonts w:eastAsia="Times New Roman" w:cs="Times New Roman"/>
          <w:kern w:val="0"/>
          <w:sz w:val="21"/>
          <w:szCs w:val="21"/>
          <w:lang w:val="en-GB"/>
        </w:rPr>
        <w:t>(</w:t>
      </w:r>
      <w:r>
        <w:rPr>
          <w:rFonts w:ascii="宋体" w:hAnsi="宋体" w:hint="eastAsia"/>
          <w:kern w:val="0"/>
          <w:sz w:val="21"/>
          <w:szCs w:val="21"/>
          <w:lang w:val="zh-CN"/>
        </w:rPr>
        <w:t>天职业字</w:t>
      </w:r>
      <w:r>
        <w:rPr>
          <w:rFonts w:eastAsia="Times New Roman" w:cs="Times New Roman"/>
          <w:kern w:val="0"/>
          <w:sz w:val="21"/>
          <w:szCs w:val="21"/>
          <w:lang w:val="en-GB"/>
        </w:rPr>
        <w:t>[2015]15713</w:t>
      </w:r>
      <w:r>
        <w:rPr>
          <w:rFonts w:ascii="宋体" w:hAnsi="宋体" w:hint="eastAsia"/>
          <w:kern w:val="0"/>
          <w:sz w:val="21"/>
          <w:szCs w:val="21"/>
          <w:lang w:val="zh-CN"/>
        </w:rPr>
        <w:t>号</w:t>
      </w:r>
      <w:r>
        <w:rPr>
          <w:rFonts w:eastAsia="Times New Roman" w:cs="Times New Roman"/>
          <w:kern w:val="0"/>
          <w:sz w:val="21"/>
          <w:szCs w:val="21"/>
          <w:lang w:val="en-GB"/>
        </w:rPr>
        <w:t>)</w:t>
      </w:r>
      <w:r>
        <w:rPr>
          <w:rFonts w:ascii="宋体" w:hAnsi="宋体" w:hint="eastAsia"/>
          <w:kern w:val="0"/>
          <w:sz w:val="21"/>
          <w:szCs w:val="21"/>
          <w:lang w:val="zh-CN"/>
        </w:rPr>
        <w:t>审验。此次发行股份后，本公司总股数为</w:t>
      </w:r>
      <w:r>
        <w:rPr>
          <w:rFonts w:eastAsia="Times New Roman" w:cs="Times New Roman"/>
          <w:kern w:val="0"/>
          <w:sz w:val="21"/>
          <w:szCs w:val="21"/>
          <w:lang w:val="en-GB"/>
        </w:rPr>
        <w:t>241,560,648</w:t>
      </w:r>
      <w:r>
        <w:rPr>
          <w:rFonts w:ascii="宋体" w:hAnsi="宋体" w:hint="eastAsia"/>
          <w:kern w:val="0"/>
          <w:sz w:val="21"/>
          <w:szCs w:val="21"/>
          <w:lang w:val="zh-CN"/>
        </w:rPr>
        <w:t>股。</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eastAsia="Times New Roman" w:cs="Times New Roman"/>
          <w:kern w:val="0"/>
          <w:sz w:val="21"/>
          <w:szCs w:val="21"/>
          <w:lang w:val="en-GB"/>
        </w:rPr>
        <w:t xml:space="preserve">2017 </w:t>
      </w:r>
      <w:r>
        <w:rPr>
          <w:rFonts w:ascii="宋体" w:hAnsi="宋体" w:hint="eastAsia"/>
          <w:kern w:val="0"/>
          <w:sz w:val="21"/>
          <w:szCs w:val="21"/>
          <w:lang w:val="zh-CN"/>
        </w:rPr>
        <w:t>年</w:t>
      </w:r>
      <w:r>
        <w:rPr>
          <w:rFonts w:eastAsia="Times New Roman" w:cs="Times New Roman"/>
          <w:kern w:val="0"/>
          <w:sz w:val="21"/>
          <w:szCs w:val="21"/>
          <w:lang w:val="en-GB"/>
        </w:rPr>
        <w:t xml:space="preserve"> 6 </w:t>
      </w:r>
      <w:r>
        <w:rPr>
          <w:rFonts w:ascii="宋体" w:hAnsi="宋体" w:hint="eastAsia"/>
          <w:kern w:val="0"/>
          <w:sz w:val="21"/>
          <w:szCs w:val="21"/>
          <w:lang w:val="zh-CN"/>
        </w:rPr>
        <w:t>月</w:t>
      </w:r>
      <w:r>
        <w:rPr>
          <w:rFonts w:eastAsia="Times New Roman" w:cs="Times New Roman"/>
          <w:kern w:val="0"/>
          <w:sz w:val="21"/>
          <w:szCs w:val="21"/>
          <w:lang w:val="en-GB"/>
        </w:rPr>
        <w:t>,</w:t>
      </w:r>
      <w:r>
        <w:rPr>
          <w:rFonts w:ascii="宋体" w:hAnsi="宋体" w:hint="eastAsia"/>
          <w:kern w:val="0"/>
          <w:sz w:val="21"/>
          <w:szCs w:val="21"/>
          <w:lang w:val="zh-CN"/>
        </w:rPr>
        <w:t>本公司实施了</w:t>
      </w:r>
      <w:r>
        <w:rPr>
          <w:rFonts w:eastAsia="Times New Roman" w:cs="Times New Roman"/>
          <w:kern w:val="0"/>
          <w:sz w:val="21"/>
          <w:szCs w:val="21"/>
          <w:lang w:val="en-GB"/>
        </w:rPr>
        <w:t xml:space="preserve">2016 </w:t>
      </w:r>
      <w:r>
        <w:rPr>
          <w:rFonts w:ascii="宋体" w:hAnsi="宋体" w:hint="eastAsia"/>
          <w:kern w:val="0"/>
          <w:sz w:val="21"/>
          <w:szCs w:val="21"/>
          <w:lang w:val="zh-CN"/>
        </w:rPr>
        <w:t>年度权益分派方案，以资本公积金转增股本，每</w:t>
      </w:r>
      <w:r>
        <w:rPr>
          <w:rFonts w:eastAsia="Times New Roman" w:cs="Times New Roman"/>
          <w:kern w:val="0"/>
          <w:sz w:val="21"/>
          <w:szCs w:val="21"/>
          <w:lang w:val="en-GB"/>
        </w:rPr>
        <w:t xml:space="preserve"> 10 </w:t>
      </w:r>
      <w:r>
        <w:rPr>
          <w:rFonts w:ascii="宋体" w:hAnsi="宋体" w:hint="eastAsia"/>
          <w:kern w:val="0"/>
          <w:sz w:val="21"/>
          <w:szCs w:val="21"/>
          <w:lang w:val="zh-CN"/>
        </w:rPr>
        <w:t>股转增</w:t>
      </w:r>
      <w:r>
        <w:rPr>
          <w:rFonts w:eastAsia="Times New Roman" w:cs="Times New Roman"/>
          <w:kern w:val="0"/>
          <w:sz w:val="21"/>
          <w:szCs w:val="21"/>
          <w:lang w:val="en-GB"/>
        </w:rPr>
        <w:t>5</w:t>
      </w:r>
      <w:r>
        <w:rPr>
          <w:rFonts w:ascii="宋体" w:hAnsi="宋体" w:hint="eastAsia"/>
          <w:kern w:val="0"/>
          <w:sz w:val="21"/>
          <w:szCs w:val="21"/>
          <w:lang w:val="zh-CN"/>
        </w:rPr>
        <w:t>股，公司股本由</w:t>
      </w:r>
      <w:r>
        <w:rPr>
          <w:rFonts w:eastAsia="Times New Roman" w:cs="Times New Roman"/>
          <w:kern w:val="0"/>
          <w:sz w:val="21"/>
          <w:szCs w:val="21"/>
          <w:lang w:val="en-GB"/>
        </w:rPr>
        <w:t xml:space="preserve">241,560,648 </w:t>
      </w:r>
      <w:r>
        <w:rPr>
          <w:rFonts w:ascii="宋体" w:hAnsi="宋体" w:hint="eastAsia"/>
          <w:kern w:val="0"/>
          <w:sz w:val="21"/>
          <w:szCs w:val="21"/>
          <w:lang w:val="zh-CN"/>
        </w:rPr>
        <w:t>股增加至</w:t>
      </w:r>
      <w:r>
        <w:rPr>
          <w:rFonts w:eastAsia="Times New Roman" w:cs="Times New Roman"/>
          <w:kern w:val="0"/>
          <w:sz w:val="21"/>
          <w:szCs w:val="21"/>
          <w:lang w:val="en-GB"/>
        </w:rPr>
        <w:t xml:space="preserve">362,340,972 </w:t>
      </w:r>
      <w:r>
        <w:rPr>
          <w:rFonts w:ascii="宋体" w:hAnsi="宋体" w:hint="eastAsia"/>
          <w:kern w:val="0"/>
          <w:sz w:val="21"/>
          <w:szCs w:val="21"/>
          <w:lang w:val="zh-CN"/>
        </w:rPr>
        <w:t>股，注册资本由</w:t>
      </w:r>
      <w:r>
        <w:rPr>
          <w:rFonts w:eastAsia="Times New Roman" w:cs="Times New Roman"/>
          <w:kern w:val="0"/>
          <w:sz w:val="21"/>
          <w:szCs w:val="21"/>
          <w:lang w:val="en-GB"/>
        </w:rPr>
        <w:t xml:space="preserve"> 24,156.0648 </w:t>
      </w:r>
      <w:r>
        <w:rPr>
          <w:rFonts w:ascii="宋体" w:hAnsi="宋体" w:hint="eastAsia"/>
          <w:kern w:val="0"/>
          <w:sz w:val="21"/>
          <w:szCs w:val="21"/>
          <w:lang w:val="zh-CN"/>
        </w:rPr>
        <w:t>万元增加至</w:t>
      </w:r>
      <w:r>
        <w:rPr>
          <w:rFonts w:eastAsia="Times New Roman" w:cs="Times New Roman"/>
          <w:kern w:val="0"/>
          <w:sz w:val="21"/>
          <w:szCs w:val="21"/>
          <w:lang w:val="en-GB"/>
        </w:rPr>
        <w:t xml:space="preserve">36,234.0972 </w:t>
      </w:r>
      <w:r>
        <w:rPr>
          <w:rFonts w:ascii="宋体" w:hAnsi="宋体" w:hint="eastAsia"/>
          <w:kern w:val="0"/>
          <w:sz w:val="21"/>
          <w:szCs w:val="21"/>
          <w:lang w:val="zh-CN"/>
        </w:rPr>
        <w:t>万元。</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公司定位于航海智能化和海洋信息化两大业务领域。本公司的经营范围为：技术开发、转让、咨询、服务、培训；生产船舶电子集成系统；销售开发后的产品、通信设备、五金交电、船舶电子设备；经营本企业自产产品的出口业务和本企业所需的机械设备、零配件、原辅材料的进口业务，但国家限定公司经营或禁止进出口的商品及技术除外。（企业依法自主选择经营项目，开展经营活动；依法须经批准的项目，经相关部门批准后依批准的内容开展经营活动；不得从事本市产业政策禁止和限制类项目的经营活动。）。</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股东大会是本公司的权力机构，依法行使公司经营方针、筹资、投资、利润分配等重大事项决议权。董事会对股东大会负责，依法行使公司的经营决策权；经理层负责组织实施股东大会、董事会决议事项，主持企业的生产经营管理工作。</w:t>
      </w:r>
    </w:p>
    <w:p w:rsidR="00A9288A" w:rsidRDefault="00A9288A">
      <w:pPr>
        <w:autoSpaceDE w:val="0"/>
        <w:autoSpaceDN w:val="0"/>
        <w:adjustRightInd w:val="0"/>
        <w:spacing w:before="0" w:after="120"/>
        <w:ind w:firstLine="360"/>
        <w:jc w:val="left"/>
        <w:rPr>
          <w:rFonts w:eastAsia="Times New Roman" w:cs="Times New Roman"/>
          <w:kern w:val="0"/>
          <w:sz w:val="21"/>
          <w:szCs w:val="21"/>
          <w:lang w:val="zh-CN"/>
        </w:rPr>
      </w:pPr>
    </w:p>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autoSpaceDE w:val="0"/>
        <w:autoSpaceDN w:val="0"/>
        <w:adjustRightInd w:val="0"/>
        <w:spacing w:before="0" w:after="0"/>
        <w:jc w:val="left"/>
        <w:rPr>
          <w:rFonts w:eastAsia="Times New Roman" w:cs="Times New Roman"/>
          <w:kern w:val="0"/>
          <w:sz w:val="21"/>
          <w:szCs w:val="21"/>
          <w:lang w:val="zh-CN"/>
        </w:rPr>
      </w:pPr>
      <w:r>
        <w:rPr>
          <w:rFonts w:ascii="宋体" w:hAnsi="宋体" w:hint="eastAsia"/>
          <w:kern w:val="0"/>
          <w:sz w:val="21"/>
          <w:szCs w:val="21"/>
          <w:lang w:val="zh-CN"/>
        </w:rPr>
        <w:t>本期财务报表合并范围详见本附注</w:t>
      </w:r>
      <w:r>
        <w:rPr>
          <w:rFonts w:eastAsia="Times New Roman" w:cs="Times New Roman"/>
          <w:kern w:val="0"/>
          <w:sz w:val="21"/>
          <w:szCs w:val="21"/>
          <w:lang w:val="zh-CN"/>
        </w:rPr>
        <w:t>“</w:t>
      </w:r>
      <w:r>
        <w:rPr>
          <w:rFonts w:ascii="宋体" w:hAnsi="宋体" w:hint="eastAsia"/>
          <w:kern w:val="0"/>
          <w:sz w:val="21"/>
          <w:szCs w:val="21"/>
          <w:lang w:val="zh-CN"/>
        </w:rPr>
        <w:t>八、合并范围的变更</w:t>
      </w:r>
      <w:r>
        <w:rPr>
          <w:rFonts w:eastAsia="Times New Roman" w:cs="Times New Roman"/>
          <w:kern w:val="0"/>
          <w:sz w:val="21"/>
          <w:szCs w:val="21"/>
          <w:lang w:val="zh-CN"/>
        </w:rPr>
        <w:t>”</w:t>
      </w:r>
      <w:r>
        <w:rPr>
          <w:rFonts w:ascii="宋体" w:hAnsi="宋体" w:hint="eastAsia"/>
          <w:kern w:val="0"/>
          <w:sz w:val="21"/>
          <w:szCs w:val="21"/>
          <w:lang w:val="zh-CN"/>
        </w:rPr>
        <w:t>及附注</w:t>
      </w:r>
      <w:r>
        <w:rPr>
          <w:rFonts w:eastAsia="Times New Roman" w:cs="Times New Roman"/>
          <w:kern w:val="0"/>
          <w:sz w:val="21"/>
          <w:szCs w:val="21"/>
          <w:lang w:val="zh-CN"/>
        </w:rPr>
        <w:t>“</w:t>
      </w:r>
      <w:r>
        <w:rPr>
          <w:rFonts w:ascii="宋体" w:hAnsi="宋体" w:hint="eastAsia"/>
          <w:kern w:val="0"/>
          <w:sz w:val="21"/>
          <w:szCs w:val="21"/>
          <w:lang w:val="zh-CN"/>
        </w:rPr>
        <w:t>九、在其他主体中的权益</w:t>
      </w:r>
      <w:r>
        <w:rPr>
          <w:rFonts w:eastAsia="Times New Roman" w:cs="Times New Roman"/>
          <w:kern w:val="0"/>
          <w:sz w:val="21"/>
          <w:szCs w:val="21"/>
          <w:lang w:val="zh-CN"/>
        </w:rPr>
        <w:t>”</w:t>
      </w:r>
      <w:r>
        <w:rPr>
          <w:rFonts w:ascii="宋体" w:hAnsi="宋体" w:hint="eastAsia"/>
          <w:kern w:val="0"/>
          <w:sz w:val="21"/>
          <w:szCs w:val="21"/>
          <w:lang w:val="zh-CN"/>
        </w:rPr>
        <w:t>相关内容。</w:t>
      </w:r>
    </w:p>
    <w:p w:rsidR="00A9288A" w:rsidRDefault="007A4434">
      <w:pPr>
        <w:pStyle w:val="Chapter"/>
        <w:outlineLvl w:val="1"/>
        <w:rPr>
          <w:rFonts w:eastAsia="Times New Roman" w:cs="Times New Roman"/>
        </w:rPr>
      </w:pPr>
      <w:r>
        <w:rPr>
          <w:rFonts w:hint="eastAsia"/>
        </w:rPr>
        <w:lastRenderedPageBreak/>
        <w:t>四、财务报表的编制基础</w:t>
      </w:r>
    </w:p>
    <w:p w:rsidR="00A9288A" w:rsidRDefault="007A4434">
      <w:pPr>
        <w:pStyle w:val="Section"/>
        <w:outlineLvl w:val="2"/>
        <w:rPr>
          <w:rFonts w:eastAsia="Times New Roman" w:cs="Times New Roman"/>
        </w:rPr>
      </w:pPr>
      <w:r>
        <w:rPr>
          <w:rFonts w:cs="Times New Roman"/>
        </w:rPr>
        <w:t>1</w:t>
      </w:r>
      <w:r>
        <w:rPr>
          <w:rFonts w:hint="eastAsia"/>
        </w:rPr>
        <w:t>、编制基础</w:t>
      </w:r>
    </w:p>
    <w:p w:rsidR="00A9288A" w:rsidRDefault="007A4434">
      <w:pPr>
        <w:autoSpaceDE w:val="0"/>
        <w:autoSpaceDN w:val="0"/>
        <w:adjustRightInd w:val="0"/>
        <w:spacing w:before="240" w:after="0"/>
        <w:ind w:firstLine="440"/>
        <w:rPr>
          <w:rFonts w:eastAsia="Times New Roman" w:cs="Times New Roman"/>
          <w:kern w:val="0"/>
          <w:sz w:val="22"/>
          <w:szCs w:val="22"/>
          <w:lang w:val="zh-CN"/>
        </w:rPr>
      </w:pPr>
      <w:r>
        <w:rPr>
          <w:rFonts w:ascii="宋体" w:hAnsi="宋体" w:hint="eastAsia"/>
          <w:kern w:val="0"/>
          <w:sz w:val="22"/>
          <w:szCs w:val="22"/>
          <w:lang w:val="zh-CN"/>
        </w:rPr>
        <w:t>本集团财务报表以持续经营为基础，根据实际发生的交易和事项，按照财政部颁布的《企业会计准则》及相关规定，并基于本附注</w:t>
      </w:r>
      <w:r>
        <w:rPr>
          <w:rFonts w:eastAsia="Times New Roman" w:cs="Times New Roman"/>
          <w:kern w:val="0"/>
          <w:sz w:val="22"/>
          <w:szCs w:val="22"/>
          <w:lang w:val="zh-CN"/>
        </w:rPr>
        <w:t>“</w:t>
      </w:r>
      <w:r>
        <w:rPr>
          <w:rFonts w:ascii="宋体" w:hAnsi="宋体" w:hint="eastAsia"/>
          <w:kern w:val="0"/>
          <w:sz w:val="22"/>
          <w:szCs w:val="22"/>
          <w:lang w:val="zh-CN"/>
        </w:rPr>
        <w:t>五、重要会计政策及会计估计</w:t>
      </w:r>
      <w:r>
        <w:rPr>
          <w:rFonts w:eastAsia="Times New Roman" w:cs="Times New Roman"/>
          <w:kern w:val="0"/>
          <w:sz w:val="22"/>
          <w:szCs w:val="22"/>
          <w:lang w:val="zh-CN"/>
        </w:rPr>
        <w:t>”</w:t>
      </w:r>
      <w:r>
        <w:rPr>
          <w:rFonts w:ascii="宋体" w:hAnsi="宋体" w:hint="eastAsia"/>
          <w:kern w:val="0"/>
          <w:sz w:val="22"/>
          <w:szCs w:val="22"/>
          <w:lang w:val="zh-CN"/>
        </w:rPr>
        <w:t>所述会计政策和会计估计编制。</w:t>
      </w:r>
    </w:p>
    <w:p w:rsidR="00A9288A" w:rsidRDefault="00A9288A">
      <w:pPr>
        <w:autoSpaceDE w:val="0"/>
        <w:autoSpaceDN w:val="0"/>
        <w:adjustRightInd w:val="0"/>
        <w:spacing w:before="0" w:after="0"/>
        <w:jc w:val="left"/>
        <w:rPr>
          <w:rFonts w:eastAsia="Times New Roman" w:cs="Times New Roman"/>
          <w:kern w:val="0"/>
          <w:lang w:val="zh-CN"/>
        </w:rPr>
      </w:pPr>
    </w:p>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2"/>
        <w:rPr>
          <w:rFonts w:eastAsia="Times New Roman" w:cs="Times New Roman"/>
        </w:rPr>
      </w:pPr>
      <w:r>
        <w:rPr>
          <w:rFonts w:cs="Times New Roman"/>
        </w:rPr>
        <w:t>2</w:t>
      </w:r>
      <w:r>
        <w:rPr>
          <w:rFonts w:hint="eastAsia"/>
        </w:rPr>
        <w:t>、持续经营</w:t>
      </w:r>
    </w:p>
    <w:p w:rsidR="00A9288A" w:rsidRDefault="007A4434">
      <w:pPr>
        <w:autoSpaceDE w:val="0"/>
        <w:autoSpaceDN w:val="0"/>
        <w:adjustRightInd w:val="0"/>
        <w:spacing w:before="240" w:after="0"/>
        <w:ind w:firstLine="420"/>
        <w:rPr>
          <w:rFonts w:eastAsia="Times New Roman" w:cs="Times New Roman"/>
          <w:kern w:val="0"/>
          <w:sz w:val="21"/>
          <w:szCs w:val="21"/>
          <w:lang w:val="zh-CN"/>
        </w:rPr>
      </w:pPr>
      <w:r>
        <w:rPr>
          <w:rFonts w:ascii="宋体" w:hAnsi="宋体" w:hint="eastAsia"/>
          <w:kern w:val="0"/>
          <w:sz w:val="21"/>
          <w:szCs w:val="21"/>
          <w:lang w:val="zh-CN"/>
        </w:rPr>
        <w:t>本集团不存在导致对报告期末起</w:t>
      </w:r>
      <w:r>
        <w:rPr>
          <w:rFonts w:eastAsia="Times New Roman" w:cs="Times New Roman"/>
          <w:kern w:val="0"/>
          <w:sz w:val="21"/>
          <w:szCs w:val="21"/>
          <w:lang w:val="en-GB"/>
        </w:rPr>
        <w:t>12</w:t>
      </w:r>
      <w:r>
        <w:rPr>
          <w:rFonts w:ascii="宋体" w:hAnsi="宋体" w:hint="eastAsia"/>
          <w:kern w:val="0"/>
          <w:sz w:val="21"/>
          <w:szCs w:val="21"/>
          <w:lang w:val="zh-CN"/>
        </w:rPr>
        <w:t>个月内的持续经营假设产生重大疑虑的的事项或情况。</w:t>
      </w:r>
    </w:p>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Chapter"/>
        <w:outlineLvl w:val="1"/>
        <w:rPr>
          <w:rFonts w:eastAsia="Times New Roman" w:cs="Times New Roman"/>
        </w:rPr>
      </w:pPr>
      <w:r>
        <w:rPr>
          <w:rFonts w:hint="eastAsia"/>
        </w:rPr>
        <w:t>五、重要会计政策及会计估计</w:t>
      </w:r>
    </w:p>
    <w:p w:rsidR="00A9288A" w:rsidRDefault="007A4434">
      <w:pPr>
        <w:jc w:val="left"/>
        <w:rPr>
          <w:rFonts w:eastAsia="Times New Roman" w:cs="Times New Roman"/>
        </w:rPr>
      </w:pPr>
      <w:r>
        <w:rPr>
          <w:rFonts w:hint="eastAsia"/>
        </w:rPr>
        <w:t>具体会计政策和会计估计提示：</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具体会计政策和会计估计提示：本公司根据实际生产经营特点制定的具体会计政策和会计估计包括营业周期、应收款项坏账准备的确认和计量、存货计价方法、固定资产分类及折旧方法、无形资产摊销、研发费用资本化条件、收入确认和计量等。</w:t>
      </w:r>
    </w:p>
    <w:p w:rsidR="00A9288A" w:rsidRDefault="00A9288A">
      <w:pPr>
        <w:autoSpaceDE w:val="0"/>
        <w:autoSpaceDN w:val="0"/>
        <w:adjustRightInd w:val="0"/>
        <w:spacing w:before="0" w:after="120"/>
        <w:ind w:firstLine="420"/>
        <w:rPr>
          <w:rFonts w:eastAsia="Times New Roman" w:cs="Times New Roman"/>
          <w:kern w:val="0"/>
          <w:sz w:val="21"/>
          <w:szCs w:val="21"/>
          <w:lang w:val="zh-CN"/>
        </w:rPr>
      </w:pPr>
    </w:p>
    <w:p w:rsidR="00A9288A" w:rsidRDefault="007A4434">
      <w:pPr>
        <w:pStyle w:val="Section"/>
        <w:outlineLvl w:val="2"/>
        <w:rPr>
          <w:rFonts w:eastAsia="Times New Roman" w:cs="Times New Roman"/>
        </w:rPr>
      </w:pPr>
      <w:r>
        <w:rPr>
          <w:rFonts w:cs="Times New Roman"/>
        </w:rPr>
        <w:t>1</w:t>
      </w:r>
      <w:r>
        <w:rPr>
          <w:rFonts w:hint="eastAsia"/>
        </w:rPr>
        <w:t>、遵循企业会计准则的声明</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本公司编制的财务报表符合企业会计准则的要求，真实、完整地反映了本公司及本集团的财务状况、经营成果和现金流量等有关信息。</w:t>
      </w:r>
    </w:p>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2"/>
        <w:rPr>
          <w:rFonts w:eastAsia="Times New Roman" w:cs="Times New Roman"/>
        </w:rPr>
      </w:pPr>
      <w:r>
        <w:rPr>
          <w:rFonts w:cs="Times New Roman"/>
        </w:rPr>
        <w:t>2</w:t>
      </w:r>
      <w:r>
        <w:rPr>
          <w:rFonts w:hint="eastAsia"/>
        </w:rPr>
        <w:t>、会计期间</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本集团的会计期间为公历</w:t>
      </w:r>
      <w:r>
        <w:rPr>
          <w:rFonts w:eastAsia="Times New Roman" w:cs="Times New Roman"/>
          <w:kern w:val="0"/>
          <w:sz w:val="21"/>
          <w:szCs w:val="21"/>
          <w:lang w:val="zh-CN"/>
        </w:rPr>
        <w:t>1</w:t>
      </w:r>
      <w:r>
        <w:rPr>
          <w:rFonts w:ascii="宋体" w:hAnsi="宋体" w:hint="eastAsia"/>
          <w:kern w:val="0"/>
          <w:sz w:val="21"/>
          <w:szCs w:val="21"/>
          <w:lang w:val="zh-CN"/>
        </w:rPr>
        <w:t>月</w:t>
      </w:r>
      <w:r>
        <w:rPr>
          <w:rFonts w:eastAsia="Times New Roman" w:cs="Times New Roman"/>
          <w:kern w:val="0"/>
          <w:sz w:val="21"/>
          <w:szCs w:val="21"/>
          <w:lang w:val="zh-CN"/>
        </w:rPr>
        <w:t>1</w:t>
      </w:r>
      <w:r>
        <w:rPr>
          <w:rFonts w:ascii="宋体" w:hAnsi="宋体" w:hint="eastAsia"/>
          <w:kern w:val="0"/>
          <w:sz w:val="21"/>
          <w:szCs w:val="21"/>
          <w:lang w:val="zh-CN"/>
        </w:rPr>
        <w:t>日至</w:t>
      </w:r>
      <w:r>
        <w:rPr>
          <w:rFonts w:eastAsia="Times New Roman" w:cs="Times New Roman"/>
          <w:kern w:val="0"/>
          <w:sz w:val="21"/>
          <w:szCs w:val="21"/>
          <w:lang w:val="zh-CN"/>
        </w:rPr>
        <w:t>12</w:t>
      </w:r>
      <w:r>
        <w:rPr>
          <w:rFonts w:ascii="宋体" w:hAnsi="宋体" w:hint="eastAsia"/>
          <w:kern w:val="0"/>
          <w:sz w:val="21"/>
          <w:szCs w:val="21"/>
          <w:lang w:val="zh-CN"/>
        </w:rPr>
        <w:t>月</w:t>
      </w:r>
      <w:r>
        <w:rPr>
          <w:rFonts w:eastAsia="Times New Roman" w:cs="Times New Roman"/>
          <w:kern w:val="0"/>
          <w:sz w:val="21"/>
          <w:szCs w:val="21"/>
          <w:lang w:val="zh-CN"/>
        </w:rPr>
        <w:t>31</w:t>
      </w:r>
      <w:r>
        <w:rPr>
          <w:rFonts w:ascii="宋体" w:hAnsi="宋体" w:hint="eastAsia"/>
          <w:kern w:val="0"/>
          <w:sz w:val="21"/>
          <w:szCs w:val="21"/>
          <w:lang w:val="zh-CN"/>
        </w:rPr>
        <w:t>日。</w:t>
      </w:r>
    </w:p>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2"/>
        <w:rPr>
          <w:rFonts w:eastAsia="Times New Roman" w:cs="Times New Roman"/>
        </w:rPr>
      </w:pPr>
      <w:r>
        <w:rPr>
          <w:rFonts w:cs="Times New Roman"/>
        </w:rPr>
        <w:t>3</w:t>
      </w:r>
      <w:r>
        <w:rPr>
          <w:rFonts w:hint="eastAsia"/>
        </w:rPr>
        <w:t>、营业周期</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本集团以</w:t>
      </w:r>
      <w:r>
        <w:rPr>
          <w:rFonts w:eastAsia="Times New Roman" w:cs="Times New Roman"/>
          <w:kern w:val="0"/>
          <w:sz w:val="21"/>
          <w:szCs w:val="21"/>
          <w:lang w:val="zh-CN"/>
        </w:rPr>
        <w:t>12</w:t>
      </w:r>
      <w:r>
        <w:rPr>
          <w:rFonts w:ascii="宋体" w:hAnsi="宋体" w:hint="eastAsia"/>
          <w:kern w:val="0"/>
          <w:sz w:val="21"/>
          <w:szCs w:val="21"/>
          <w:lang w:val="zh-CN"/>
        </w:rPr>
        <w:t>个月作为一个营业周期。</w:t>
      </w:r>
    </w:p>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2"/>
        <w:rPr>
          <w:rFonts w:eastAsia="Times New Roman" w:cs="Times New Roman"/>
        </w:rPr>
      </w:pPr>
      <w:r>
        <w:rPr>
          <w:rFonts w:cs="Times New Roman"/>
        </w:rPr>
        <w:t>4</w:t>
      </w:r>
      <w:r>
        <w:rPr>
          <w:rFonts w:hint="eastAsia"/>
        </w:rPr>
        <w:t>、记账本位币</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海兰信（香港）航海科技有限公司、香港海兰船舶电气系统科技有限公司及海兰盈华（香港）航海科技有限公司以美元为记账本位币，劳雷海洋系统有限公司、</w:t>
      </w:r>
      <w:r>
        <w:rPr>
          <w:rFonts w:eastAsia="Times New Roman" w:cs="Times New Roman"/>
          <w:kern w:val="0"/>
          <w:sz w:val="21"/>
          <w:szCs w:val="21"/>
          <w:lang w:val="zh-CN"/>
        </w:rPr>
        <w:t>Summerview Company Limited</w:t>
      </w:r>
      <w:r>
        <w:rPr>
          <w:rFonts w:ascii="宋体" w:hAnsi="宋体" w:hint="eastAsia"/>
          <w:kern w:val="0"/>
          <w:sz w:val="21"/>
          <w:szCs w:val="21"/>
          <w:lang w:val="zh-CN"/>
        </w:rPr>
        <w:t>以港币为记账本位币，</w:t>
      </w:r>
      <w:r>
        <w:rPr>
          <w:rFonts w:eastAsia="Times New Roman" w:cs="Times New Roman"/>
          <w:kern w:val="0"/>
          <w:sz w:val="21"/>
          <w:szCs w:val="21"/>
          <w:lang w:val="zh-CN"/>
        </w:rPr>
        <w:t>Rockson Automation GmbH</w:t>
      </w:r>
      <w:r>
        <w:rPr>
          <w:rFonts w:ascii="宋体" w:hAnsi="宋体" w:hint="eastAsia"/>
          <w:kern w:val="0"/>
          <w:sz w:val="21"/>
          <w:szCs w:val="21"/>
          <w:lang w:val="zh-CN"/>
        </w:rPr>
        <w:t>以欧元为记账本位币，除此以外本公司其他公司均以人民币为记账本位</w:t>
      </w:r>
      <w:r>
        <w:rPr>
          <w:rFonts w:ascii="宋体" w:hAnsi="宋体" w:hint="eastAsia"/>
          <w:kern w:val="0"/>
          <w:sz w:val="21"/>
          <w:szCs w:val="21"/>
          <w:lang w:val="zh-CN"/>
        </w:rPr>
        <w:lastRenderedPageBreak/>
        <w:t>币。</w:t>
      </w:r>
    </w:p>
    <w:p w:rsidR="00A9288A" w:rsidRDefault="00A9288A">
      <w:pPr>
        <w:autoSpaceDE w:val="0"/>
        <w:autoSpaceDN w:val="0"/>
        <w:adjustRightInd w:val="0"/>
        <w:spacing w:before="0" w:after="120"/>
        <w:ind w:firstLine="420"/>
        <w:rPr>
          <w:rFonts w:eastAsia="Times New Roman" w:cs="Times New Roman"/>
          <w:kern w:val="0"/>
          <w:sz w:val="21"/>
          <w:szCs w:val="21"/>
          <w:lang w:val="zh-CN"/>
        </w:rPr>
      </w:pPr>
    </w:p>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2"/>
        <w:rPr>
          <w:rFonts w:eastAsia="Times New Roman" w:cs="Times New Roman"/>
        </w:rPr>
      </w:pPr>
      <w:r>
        <w:rPr>
          <w:rFonts w:cs="Times New Roman"/>
        </w:rPr>
        <w:t>5</w:t>
      </w:r>
      <w:r>
        <w:rPr>
          <w:rFonts w:hint="eastAsia"/>
        </w:rPr>
        <w:t>、同一控制下和非同一控制下企业合并的会计处理方法</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公司作为合并方，在同一控制下企业合并中取得的资产和负债，在合并日按被合并方在最终控制方合并报表中的账面价值计量。取得的净资产账面价值与支付的合并对价账面价值的差额，调整资本公积；资本公积不足冲减的，调整留存收益。</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在非同一控制下企业合并中取得的被购买方可辨认资产、负债及或有负债在收购日以公允价值计量。合并成本为本公司在购买日为取得对被购买方的控制权而支付的现金或非现金资产、发行或承担的负债、发行的权益性证券等的公允价值以及在企业合并中发生的各项直接相关费用之和（通过多次交易分步实现的企业合并，其合并成本为每一单项交易的成本之和）。合并成本大于合并中取得的被购买方可辨认净资产公允价值份额的差额，确认为商誉；合并成本小于合并中取得的被购买方可辨认净资产公允价值份额的，首先对合并中取得的各项可辨认资产、负债及或有负债的公允价值、以及合并对价的非现金资产或发行的权益性证券等的公允价值进行复核，经复核后，合并成本仍小于合并中取得的被购买方可辨认净资产公允价值份额的，将其差额计入合并当期营业外收入。</w:t>
      </w:r>
    </w:p>
    <w:p w:rsidR="00A9288A" w:rsidRDefault="00A9288A">
      <w:pPr>
        <w:autoSpaceDE w:val="0"/>
        <w:autoSpaceDN w:val="0"/>
        <w:adjustRightInd w:val="0"/>
        <w:spacing w:before="0" w:after="120"/>
        <w:ind w:firstLine="420"/>
        <w:rPr>
          <w:rFonts w:eastAsia="Times New Roman" w:cs="Times New Roman"/>
          <w:kern w:val="0"/>
          <w:sz w:val="21"/>
          <w:szCs w:val="21"/>
          <w:lang w:val="zh-CN"/>
        </w:rPr>
      </w:pPr>
    </w:p>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2"/>
        <w:rPr>
          <w:rFonts w:eastAsia="Times New Roman" w:cs="Times New Roman"/>
        </w:rPr>
      </w:pPr>
      <w:r>
        <w:rPr>
          <w:rFonts w:cs="Times New Roman"/>
        </w:rPr>
        <w:t>6</w:t>
      </w:r>
      <w:r>
        <w:rPr>
          <w:rFonts w:hint="eastAsia"/>
        </w:rPr>
        <w:t>、合并财务报表的编制方法</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本公司将所有控制的子公司纳入合并财务报表范围。</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在编制合并财务报表时，子公司与本公司采用的会计政策或会计期间不一致的，按照本公司的会计政策或会计期间对子公司财务报表进行必要的调整。</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合并范围内的所有重大内部交易、往来余额及未实现利润在合并报表编制时予以抵销。子公司的所有者权益中不属于母公司的份额以及当期净损益、其他综合收益及综合收益总额中属于少数股东权益的份额，分别在合并财务报表</w:t>
      </w:r>
      <w:r>
        <w:rPr>
          <w:rFonts w:eastAsia="Times New Roman" w:cs="Times New Roman"/>
          <w:kern w:val="0"/>
          <w:sz w:val="21"/>
          <w:szCs w:val="21"/>
          <w:lang w:val="zh-CN"/>
        </w:rPr>
        <w:t>“</w:t>
      </w:r>
      <w:r>
        <w:rPr>
          <w:rFonts w:ascii="宋体" w:hAnsi="宋体" w:hint="eastAsia"/>
          <w:kern w:val="0"/>
          <w:sz w:val="21"/>
          <w:szCs w:val="21"/>
          <w:lang w:val="zh-CN"/>
        </w:rPr>
        <w:t>少数股东权益、少数股东损益、归属于少数股东的其他综合收益及归属于少数股东的综合收益总额</w:t>
      </w:r>
      <w:r>
        <w:rPr>
          <w:rFonts w:eastAsia="Times New Roman" w:cs="Times New Roman"/>
          <w:kern w:val="0"/>
          <w:sz w:val="21"/>
          <w:szCs w:val="21"/>
          <w:lang w:val="zh-CN"/>
        </w:rPr>
        <w:t>”</w:t>
      </w:r>
      <w:r>
        <w:rPr>
          <w:rFonts w:ascii="宋体" w:hAnsi="宋体" w:hint="eastAsia"/>
          <w:kern w:val="0"/>
          <w:sz w:val="21"/>
          <w:szCs w:val="21"/>
          <w:lang w:val="zh-CN"/>
        </w:rPr>
        <w:t>项目列示。</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对于同一控制下企业合并取得的子公司，其经营成果和现金流量自合并当期期初纳入合并财务报表。编制比较合并财务报表时，对上年财务报表的相关项目进行调整，视同合并后形成的报告主体自最终控制方开始控制时点起一直存在。</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对于非同一控制下企业合并取得子公司，经营成果和现金流量自本公司取得控制权之日起纳入合并财务报表。在编制合并财务报表时，以购买日确定的各项可辨认资产、负债及或有负债的公允价值为基础对子公司的财务报表进行调整。</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公司在不丧失控制权的情况下部分处置对子公司的长期股权投资，在合并财务报表中，处置价款与处置长期股权投资相对应享有子公司自购买日或合并日开始持续计算的净资产份额之间的差额，调整资本溢价或股本溢价，资本公积不足冲减的，调整留存收益。</w:t>
      </w:r>
    </w:p>
    <w:p w:rsidR="00A9288A" w:rsidRDefault="007A4434">
      <w:pPr>
        <w:autoSpaceDE w:val="0"/>
        <w:autoSpaceDN w:val="0"/>
        <w:adjustRightInd w:val="0"/>
        <w:spacing w:before="0" w:after="0"/>
        <w:jc w:val="left"/>
        <w:rPr>
          <w:rFonts w:eastAsia="Times New Roman" w:cs="Times New Roman"/>
          <w:kern w:val="0"/>
          <w:sz w:val="21"/>
          <w:szCs w:val="21"/>
          <w:lang w:val="zh-CN"/>
        </w:rPr>
      </w:pPr>
      <w:r>
        <w:rPr>
          <w:rFonts w:ascii="宋体" w:hAnsi="宋体" w:hint="eastAsia"/>
          <w:kern w:val="0"/>
          <w:sz w:val="21"/>
          <w:szCs w:val="21"/>
          <w:lang w:val="zh-CN"/>
        </w:rPr>
        <w:t>本公司因处置部分股权投资等原因丧失了对被投资方的控制权的，在编制合并财务报表时，对于剩余股权，按照其在丧失控制权日的公允价值进行重新计量。处置股权取得的对价与剩余股权公允价值之和，减去按</w:t>
      </w:r>
      <w:r>
        <w:rPr>
          <w:rFonts w:ascii="宋体" w:hAnsi="宋体" w:hint="eastAsia"/>
          <w:kern w:val="0"/>
          <w:sz w:val="21"/>
          <w:szCs w:val="21"/>
          <w:lang w:val="zh-CN"/>
        </w:rPr>
        <w:lastRenderedPageBreak/>
        <w:t>原持股比例计算应享有原有子公司自购买日或合并日开始持续计算的净资产的份额之间的差额，计入丧失控制权当期的投资损益，同时冲减商誉。与原有子公司股权投资相关的其他综合收益等，在丧失控制权时转为当期投资损益。</w:t>
      </w:r>
    </w:p>
    <w:p w:rsidR="00A9288A" w:rsidRDefault="00A9288A">
      <w:pPr>
        <w:autoSpaceDE w:val="0"/>
        <w:autoSpaceDN w:val="0"/>
        <w:adjustRightInd w:val="0"/>
        <w:spacing w:before="0" w:after="120"/>
        <w:ind w:firstLine="420"/>
        <w:rPr>
          <w:rFonts w:eastAsia="Times New Roman" w:cs="Times New Roman"/>
          <w:kern w:val="0"/>
          <w:sz w:val="21"/>
          <w:szCs w:val="21"/>
          <w:lang w:val="zh-CN"/>
        </w:rPr>
      </w:pPr>
    </w:p>
    <w:p w:rsidR="00A9288A" w:rsidRDefault="007A4434">
      <w:pPr>
        <w:pStyle w:val="Section"/>
        <w:outlineLvl w:val="2"/>
        <w:rPr>
          <w:rFonts w:eastAsia="Times New Roman" w:cs="Times New Roman"/>
        </w:rPr>
      </w:pPr>
      <w:r>
        <w:rPr>
          <w:rFonts w:cs="Times New Roman"/>
        </w:rPr>
        <w:t>7</w:t>
      </w:r>
      <w:r>
        <w:rPr>
          <w:rFonts w:hint="eastAsia"/>
        </w:rPr>
        <w:t>、合营安排分类及共同经营会计处理方法</w:t>
      </w:r>
    </w:p>
    <w:p w:rsidR="00A9288A" w:rsidRDefault="007A4434">
      <w:pPr>
        <w:autoSpaceDE w:val="0"/>
        <w:autoSpaceDN w:val="0"/>
        <w:adjustRightInd w:val="0"/>
        <w:spacing w:before="0" w:after="0"/>
        <w:jc w:val="left"/>
        <w:rPr>
          <w:rFonts w:eastAsia="Times New Roman" w:cs="Times New Roman"/>
          <w:kern w:val="0"/>
          <w:lang w:val="zh-CN"/>
        </w:rPr>
      </w:pPr>
      <w:r>
        <w:rPr>
          <w:rFonts w:ascii="宋体" w:hAnsi="宋体" w:hint="eastAsia"/>
          <w:kern w:val="0"/>
          <w:lang w:val="zh-CN"/>
        </w:rPr>
        <w:t>无</w:t>
      </w:r>
    </w:p>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2"/>
        <w:rPr>
          <w:rFonts w:eastAsia="Times New Roman" w:cs="Times New Roman"/>
        </w:rPr>
      </w:pPr>
      <w:r>
        <w:rPr>
          <w:rFonts w:cs="Times New Roman"/>
        </w:rPr>
        <w:t>8</w:t>
      </w:r>
      <w:r>
        <w:rPr>
          <w:rFonts w:hint="eastAsia"/>
        </w:rPr>
        <w:t>、现金及现金等价物的确定标准</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本公司现金流量表之现金指库存现金以及可以随时用于支付的存款。现金流量表之现金等价物指持有期限不超过</w:t>
      </w:r>
      <w:r>
        <w:rPr>
          <w:rFonts w:eastAsia="Times New Roman" w:cs="Times New Roman"/>
          <w:kern w:val="0"/>
          <w:sz w:val="21"/>
          <w:szCs w:val="21"/>
          <w:lang w:val="zh-CN"/>
        </w:rPr>
        <w:t>3</w:t>
      </w:r>
      <w:r>
        <w:rPr>
          <w:rFonts w:ascii="宋体" w:hAnsi="宋体" w:hint="eastAsia"/>
          <w:kern w:val="0"/>
          <w:sz w:val="21"/>
          <w:szCs w:val="21"/>
          <w:lang w:val="zh-CN"/>
        </w:rPr>
        <w:t>个月、流动性强、易于转换为已知金额现金且价值变动风险很小的投资。</w:t>
      </w:r>
    </w:p>
    <w:p w:rsidR="00A9288A" w:rsidRDefault="00A9288A">
      <w:pPr>
        <w:autoSpaceDE w:val="0"/>
        <w:autoSpaceDN w:val="0"/>
        <w:adjustRightInd w:val="0"/>
        <w:spacing w:before="0" w:after="120"/>
        <w:ind w:firstLine="420"/>
        <w:rPr>
          <w:rFonts w:eastAsia="Times New Roman" w:cs="Times New Roman"/>
          <w:kern w:val="0"/>
          <w:sz w:val="21"/>
          <w:szCs w:val="21"/>
          <w:lang w:val="zh-CN"/>
        </w:rPr>
      </w:pPr>
    </w:p>
    <w:p w:rsidR="00A9288A" w:rsidRDefault="007A4434">
      <w:pPr>
        <w:pStyle w:val="Section"/>
        <w:outlineLvl w:val="2"/>
        <w:rPr>
          <w:rFonts w:eastAsia="Times New Roman" w:cs="Times New Roman"/>
        </w:rPr>
      </w:pPr>
      <w:r>
        <w:rPr>
          <w:rFonts w:cs="Times New Roman"/>
        </w:rPr>
        <w:t>9</w:t>
      </w:r>
      <w:r>
        <w:rPr>
          <w:rFonts w:hint="eastAsia"/>
        </w:rPr>
        <w:t>、外币业务和外币报表折算</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eastAsia="Times New Roman" w:cs="Times New Roman"/>
          <w:kern w:val="0"/>
          <w:sz w:val="21"/>
          <w:szCs w:val="21"/>
          <w:lang w:val="zh-CN"/>
        </w:rPr>
        <w:t>1.</w:t>
      </w:r>
      <w:r>
        <w:rPr>
          <w:rFonts w:ascii="宋体" w:hAnsi="宋体" w:hint="eastAsia"/>
          <w:kern w:val="0"/>
          <w:sz w:val="21"/>
          <w:szCs w:val="21"/>
          <w:lang w:val="zh-CN"/>
        </w:rPr>
        <w:t>外币交易</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公司外币交易按交易发生日的即期汇率将外币金额折算为人民币金额。于资产负债表日，外币货币性项目采用资产负债表日的即期汇率折算为人民币，所产生的折算差额除了为购建或生产符合资本化条件的资产而借入的外币专门借款产生的汇兑差额按资本化的原则处理外，直接计入当期损益。以公允价值计量的外币非货币性项目，采用公允价值确定日的即期汇率折算为人民币，所产生的折算差额，作为公允价值变动直接计入当期损益。以历史成本计量的外币非货币性项目，仍采用交易发生日的即期汇率折算，不改变其人民币金额。</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eastAsia="Times New Roman" w:cs="Times New Roman"/>
          <w:kern w:val="0"/>
          <w:sz w:val="21"/>
          <w:szCs w:val="21"/>
          <w:lang w:val="zh-CN"/>
        </w:rPr>
        <w:t>2.</w:t>
      </w:r>
      <w:r>
        <w:rPr>
          <w:rFonts w:ascii="宋体" w:hAnsi="宋体" w:hint="eastAsia"/>
          <w:kern w:val="0"/>
          <w:sz w:val="21"/>
          <w:szCs w:val="21"/>
          <w:lang w:val="zh-CN"/>
        </w:rPr>
        <w:t>外币财务报表的折算</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外币资产负债表中资产、负债类项目采用资产负债表日的即期汇率折算；所有者权益类项目除</w:t>
      </w:r>
      <w:r>
        <w:rPr>
          <w:rFonts w:eastAsia="Times New Roman" w:cs="Times New Roman"/>
          <w:kern w:val="0"/>
          <w:sz w:val="21"/>
          <w:szCs w:val="21"/>
          <w:lang w:val="zh-CN"/>
        </w:rPr>
        <w:t>“</w:t>
      </w:r>
      <w:r>
        <w:rPr>
          <w:rFonts w:ascii="宋体" w:hAnsi="宋体" w:hint="eastAsia"/>
          <w:kern w:val="0"/>
          <w:sz w:val="21"/>
          <w:szCs w:val="21"/>
          <w:lang w:val="zh-CN"/>
        </w:rPr>
        <w:t>未分配利润</w:t>
      </w:r>
      <w:r>
        <w:rPr>
          <w:rFonts w:eastAsia="Times New Roman" w:cs="Times New Roman"/>
          <w:kern w:val="0"/>
          <w:sz w:val="21"/>
          <w:szCs w:val="21"/>
          <w:lang w:val="zh-CN"/>
        </w:rPr>
        <w:t>”</w:t>
      </w:r>
      <w:r>
        <w:rPr>
          <w:rFonts w:ascii="宋体" w:hAnsi="宋体" w:hint="eastAsia"/>
          <w:kern w:val="0"/>
          <w:sz w:val="21"/>
          <w:szCs w:val="21"/>
          <w:lang w:val="zh-CN"/>
        </w:rPr>
        <w:t>外，均按业务发生时的即期汇率折算；利润表中的收入与费用项目，采用交易发生日的即期汇率折算。上述折算产生的外币报表折算差额，在所有者权益项目下单独列示。外币现金流量采用现金流量发生日的即期汇率折算。汇率变动对现金的影响额，在现金流量表中单独列示。</w:t>
      </w:r>
    </w:p>
    <w:p w:rsidR="00A9288A" w:rsidRDefault="00A9288A">
      <w:pPr>
        <w:autoSpaceDE w:val="0"/>
        <w:autoSpaceDN w:val="0"/>
        <w:adjustRightInd w:val="0"/>
        <w:spacing w:before="0" w:after="120"/>
        <w:ind w:firstLine="420"/>
        <w:rPr>
          <w:rFonts w:eastAsia="Times New Roman" w:cs="Times New Roman"/>
          <w:kern w:val="0"/>
          <w:sz w:val="21"/>
          <w:szCs w:val="21"/>
          <w:lang w:val="zh-CN"/>
        </w:rPr>
      </w:pPr>
    </w:p>
    <w:p w:rsidR="00A9288A" w:rsidRDefault="007A4434">
      <w:pPr>
        <w:pStyle w:val="Section"/>
        <w:outlineLvl w:val="2"/>
        <w:rPr>
          <w:rFonts w:eastAsia="Times New Roman" w:cs="Times New Roman"/>
        </w:rPr>
      </w:pPr>
      <w:r>
        <w:rPr>
          <w:rFonts w:cs="Times New Roman"/>
        </w:rPr>
        <w:t>10</w:t>
      </w:r>
      <w:r>
        <w:rPr>
          <w:rFonts w:hint="eastAsia"/>
        </w:rPr>
        <w:t>、金融工具</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本公司成为金融工具合同的一方时确认一项金融资产或金融负债。</w:t>
      </w:r>
    </w:p>
    <w:p w:rsidR="00A9288A" w:rsidRDefault="007A4434">
      <w:pPr>
        <w:autoSpaceDE w:val="0"/>
        <w:autoSpaceDN w:val="0"/>
        <w:adjustRightInd w:val="0"/>
        <w:spacing w:before="0" w:after="120"/>
        <w:ind w:left="420" w:firstLine="420"/>
        <w:rPr>
          <w:rFonts w:eastAsia="Times New Roman" w:cs="Times New Roman"/>
          <w:kern w:val="0"/>
          <w:sz w:val="21"/>
          <w:szCs w:val="21"/>
          <w:lang w:val="zh-CN"/>
        </w:rPr>
      </w:pPr>
      <w:r>
        <w:rPr>
          <w:rFonts w:eastAsia="Times New Roman" w:cs="Times New Roman"/>
          <w:kern w:val="0"/>
          <w:sz w:val="21"/>
          <w:szCs w:val="21"/>
          <w:lang w:val="zh-CN"/>
        </w:rPr>
        <w:t>1.</w:t>
      </w:r>
      <w:r>
        <w:rPr>
          <w:rFonts w:ascii="宋体" w:hAnsi="宋体" w:hint="eastAsia"/>
          <w:kern w:val="0"/>
          <w:sz w:val="21"/>
          <w:szCs w:val="21"/>
          <w:lang w:val="zh-CN"/>
        </w:rPr>
        <w:t>金融资产</w:t>
      </w:r>
    </w:p>
    <w:p w:rsidR="00A9288A" w:rsidRDefault="007A4434">
      <w:pPr>
        <w:autoSpaceDE w:val="0"/>
        <w:autoSpaceDN w:val="0"/>
        <w:adjustRightInd w:val="0"/>
        <w:spacing w:before="0" w:after="120"/>
        <w:ind w:left="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1</w:t>
      </w:r>
      <w:r>
        <w:rPr>
          <w:rFonts w:ascii="宋体" w:hAnsi="宋体" w:hint="eastAsia"/>
          <w:kern w:val="0"/>
          <w:sz w:val="21"/>
          <w:szCs w:val="21"/>
          <w:lang w:val="zh-CN"/>
        </w:rPr>
        <w:t>）金融资产分类、确认依据和计量方法</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金融资产在初始确认时划分为以公允价值计量且其变动计入当期损益的金融资产、持有至到期投资、应收款项以及可供出售金融资产。以常规方式买卖金融资产，按交易日会计进行确认和终止确认。本公司的金融资产包括应收款项和可供出售金融资产。</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应收款项，是指在活跃市场中没有报价，回收金额固定或可确定的非衍生金融资产。本公司划分为应</w:t>
      </w:r>
      <w:r>
        <w:rPr>
          <w:rFonts w:ascii="宋体" w:hAnsi="宋体" w:hint="eastAsia"/>
          <w:kern w:val="0"/>
          <w:sz w:val="21"/>
          <w:szCs w:val="21"/>
          <w:lang w:val="zh-CN"/>
        </w:rPr>
        <w:lastRenderedPageBreak/>
        <w:t>收款项的金融资产包括货币资金、应收票据、应收账款、应收利息、其他应收款、其他流动资产等。</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应收款项采用实际利率法，按摊余成本进行后续计量。在终止确认、发生减值或摊销时产生的利得或损失，计入当期损益。</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可供出售金融资产，是指初始确认时即被指定为可供出售的非衍生金融资产，以及未被划分为其他类的金融资产。这类资产中，在活跃市场中没有报价且其公允价值不能可靠计量的权益工具投资以及与该权益工具挂钩并须通过交付该权益工具结算的衍生金融资产，按成本进行后续计量；其他存在活跃市场报价或虽没有活跃市场报价但公允价值能够可靠计量的，按公允价值计量，公允价值变动计入其他综合收益。对于此类金融资产采用公允价值进行后续计量，除减值损失及外币货币性金融资产形成的汇兑损益外，可供出售金融资产公允价值变动直接计入股东权益，待该金融资产终止确认时，原直接计入权益的公允价值变动累计额转入当期损益。可供出售债务工具投资在持有期间按实际利率法计算的利息，以及被投资单位宣告发放的与可供出售权益工具投资相关的现金股利，作为投资收益计入当期损益。对于在活跃市场中没有报价且其公允价值不能可靠计量的权益工具投资，按成本计量。</w:t>
      </w:r>
    </w:p>
    <w:p w:rsidR="00A9288A" w:rsidRDefault="007A4434">
      <w:pPr>
        <w:autoSpaceDE w:val="0"/>
        <w:autoSpaceDN w:val="0"/>
        <w:adjustRightInd w:val="0"/>
        <w:spacing w:before="0" w:after="120"/>
        <w:ind w:left="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2</w:t>
      </w:r>
      <w:r>
        <w:rPr>
          <w:rFonts w:ascii="宋体" w:hAnsi="宋体" w:hint="eastAsia"/>
          <w:kern w:val="0"/>
          <w:sz w:val="21"/>
          <w:szCs w:val="21"/>
          <w:lang w:val="zh-CN"/>
        </w:rPr>
        <w:t>）金融资产转移的确认依据和计量方法</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金融资产满足下列条件之一的，予以终止确认：①收取该金融资产现金流量的合同权利终止；②该金融资产已转移，且本公司将金融资产所有权上几乎所有的风险和报酬转移给转入方；③该金融资产已转移，虽然本公司既没有转移也没有保留金融资产所有权上几乎所有的风险和报酬，但是放弃了对该金融资产控制。</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企业既没有转移也没有保留金融资产所有权上几乎所有的风险和报酬，且未放弃对该金融资产控制的，则按照其继续涉入所转移金融资产的程度确认有关金融资产，并相应确认有关负债。</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金融资产整体转移满足终止确认条件的，将所转移金融资产的账面价值，与因转移而收到的对价及原计入其他综合收益的公允价值变动累计额之和的差额计入当期损益。</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金融资产部分转移满足终止确认条件的，将所转移金融资产整体的账面价值，在终止确认部分和未终止确认部分之间，按照各自的相对公允价值进行分摊，并将因转移而收到的对价及应分摊至终止确认部分的原计入其他综合收益的公允价值变动累计额之和，与分摊的前述账面金额的差额计入当期损益。</w:t>
      </w:r>
    </w:p>
    <w:p w:rsidR="00A9288A" w:rsidRDefault="007A4434">
      <w:pPr>
        <w:autoSpaceDE w:val="0"/>
        <w:autoSpaceDN w:val="0"/>
        <w:adjustRightInd w:val="0"/>
        <w:spacing w:before="0" w:after="120"/>
        <w:ind w:left="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3</w:t>
      </w:r>
      <w:r>
        <w:rPr>
          <w:rFonts w:ascii="宋体" w:hAnsi="宋体" w:hint="eastAsia"/>
          <w:kern w:val="0"/>
          <w:sz w:val="21"/>
          <w:szCs w:val="21"/>
          <w:lang w:val="zh-CN"/>
        </w:rPr>
        <w:t>）金融资产减值的测试方法及会计处理方法</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本公司于资产负债表日对金融资产的账面价值进行检查，如果有客观证据表明某项金融资产发生减值的，计提减值准备。</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以摊余成本计量的金融资产发生减值时，按预计未来现金流量</w:t>
      </w:r>
      <w:r>
        <w:rPr>
          <w:rFonts w:eastAsia="Times New Roman" w:cs="Times New Roman"/>
          <w:kern w:val="0"/>
          <w:sz w:val="21"/>
          <w:szCs w:val="21"/>
          <w:lang w:val="zh-CN"/>
        </w:rPr>
        <w:t>(</w:t>
      </w:r>
      <w:r>
        <w:rPr>
          <w:rFonts w:ascii="宋体" w:hAnsi="宋体" w:hint="eastAsia"/>
          <w:kern w:val="0"/>
          <w:sz w:val="21"/>
          <w:szCs w:val="21"/>
          <w:lang w:val="zh-CN"/>
        </w:rPr>
        <w:t>不包括尚未发生的未来信用损失</w:t>
      </w:r>
      <w:r>
        <w:rPr>
          <w:rFonts w:eastAsia="Times New Roman" w:cs="Times New Roman"/>
          <w:kern w:val="0"/>
          <w:sz w:val="21"/>
          <w:szCs w:val="21"/>
          <w:lang w:val="zh-CN"/>
        </w:rPr>
        <w:t>)</w:t>
      </w:r>
      <w:r>
        <w:rPr>
          <w:rFonts w:ascii="宋体" w:hAnsi="宋体" w:hint="eastAsia"/>
          <w:kern w:val="0"/>
          <w:sz w:val="21"/>
          <w:szCs w:val="21"/>
          <w:lang w:val="zh-CN"/>
        </w:rPr>
        <w:t>现值低于账面价值的差额，计提减值准备。如果有客观证据表明该金融资产价值已恢复，且客观上与确认该损失后发生的事项有关，原确认的减值损失予以转回，计入当期损益。</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当可供出售金融资产发生减值，原直接计入所有者权益的因公允价值下降形成的累计损失予以转出并计入减值损失。对已确认减值损失的可供出售债务工具投资，在期后公允价值上升且客观上与确认原减值损失后发生的事项有关的，原确认的减值损失予以转回并计入当期损益。对已确认减值损失的可供出售权益工具投资，期后公允价值上升直接计入所有者权益。</w:t>
      </w:r>
    </w:p>
    <w:p w:rsidR="00A9288A" w:rsidRDefault="007A4434">
      <w:pPr>
        <w:autoSpaceDE w:val="0"/>
        <w:autoSpaceDN w:val="0"/>
        <w:adjustRightInd w:val="0"/>
        <w:spacing w:before="0" w:after="120"/>
        <w:ind w:left="420" w:firstLine="420"/>
        <w:rPr>
          <w:rFonts w:eastAsia="Times New Roman" w:cs="Times New Roman"/>
          <w:kern w:val="0"/>
          <w:sz w:val="21"/>
          <w:szCs w:val="21"/>
          <w:lang w:val="zh-CN"/>
        </w:rPr>
      </w:pPr>
      <w:r>
        <w:rPr>
          <w:rFonts w:eastAsia="Times New Roman" w:cs="Times New Roman"/>
          <w:kern w:val="0"/>
          <w:sz w:val="21"/>
          <w:szCs w:val="21"/>
          <w:lang w:val="zh-CN"/>
        </w:rPr>
        <w:t>2.</w:t>
      </w:r>
      <w:r>
        <w:rPr>
          <w:rFonts w:ascii="宋体" w:hAnsi="宋体" w:hint="eastAsia"/>
          <w:kern w:val="0"/>
          <w:sz w:val="21"/>
          <w:szCs w:val="21"/>
          <w:lang w:val="zh-CN"/>
        </w:rPr>
        <w:t>金融负债</w:t>
      </w:r>
    </w:p>
    <w:p w:rsidR="00A9288A" w:rsidRDefault="007A4434">
      <w:pPr>
        <w:autoSpaceDE w:val="0"/>
        <w:autoSpaceDN w:val="0"/>
        <w:adjustRightInd w:val="0"/>
        <w:spacing w:before="0" w:after="120"/>
        <w:ind w:left="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1</w:t>
      </w:r>
      <w:r>
        <w:rPr>
          <w:rFonts w:ascii="宋体" w:hAnsi="宋体" w:hint="eastAsia"/>
          <w:kern w:val="0"/>
          <w:sz w:val="21"/>
          <w:szCs w:val="21"/>
          <w:lang w:val="zh-CN"/>
        </w:rPr>
        <w:t>）金融负债分类、确认依据和计量方法</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金融负债于初始确认时分类为以公允价值计量且其变动计入当期损益的金融负债和其他金融负债。本公司的金融负债为其他金融负债。</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其他金融负债采用实际利率法，按照摊余成本进行后续计量。</w:t>
      </w:r>
    </w:p>
    <w:p w:rsidR="00A9288A" w:rsidRDefault="007A4434">
      <w:pPr>
        <w:autoSpaceDE w:val="0"/>
        <w:autoSpaceDN w:val="0"/>
        <w:adjustRightInd w:val="0"/>
        <w:spacing w:before="0" w:after="120"/>
        <w:ind w:firstLine="437"/>
        <w:rPr>
          <w:rFonts w:eastAsia="Times New Roman" w:cs="Times New Roman"/>
          <w:kern w:val="0"/>
          <w:sz w:val="21"/>
          <w:szCs w:val="21"/>
          <w:lang w:val="zh-CN"/>
        </w:rPr>
      </w:pPr>
      <w:r>
        <w:rPr>
          <w:rFonts w:ascii="宋体" w:hAnsi="宋体" w:hint="eastAsia"/>
          <w:kern w:val="0"/>
          <w:sz w:val="21"/>
          <w:szCs w:val="21"/>
          <w:lang w:val="zh-CN"/>
        </w:rPr>
        <w:lastRenderedPageBreak/>
        <w:t>（</w:t>
      </w:r>
      <w:r>
        <w:rPr>
          <w:rFonts w:eastAsia="Times New Roman" w:cs="Times New Roman"/>
          <w:kern w:val="0"/>
          <w:sz w:val="21"/>
          <w:szCs w:val="21"/>
          <w:lang w:val="zh-CN"/>
        </w:rPr>
        <w:t>2</w:t>
      </w:r>
      <w:r>
        <w:rPr>
          <w:rFonts w:ascii="宋体" w:hAnsi="宋体" w:hint="eastAsia"/>
          <w:kern w:val="0"/>
          <w:sz w:val="21"/>
          <w:szCs w:val="21"/>
          <w:lang w:val="zh-CN"/>
        </w:rPr>
        <w:t>）金融负债终止确认条件</w:t>
      </w:r>
    </w:p>
    <w:p w:rsidR="00A9288A" w:rsidRDefault="007A4434">
      <w:pPr>
        <w:autoSpaceDE w:val="0"/>
        <w:autoSpaceDN w:val="0"/>
        <w:adjustRightInd w:val="0"/>
        <w:spacing w:before="0" w:after="120"/>
        <w:ind w:firstLine="420"/>
        <w:rPr>
          <w:rFonts w:eastAsia="Times New Roman" w:cs="Times New Roman"/>
          <w:i/>
          <w:iCs/>
          <w:kern w:val="0"/>
          <w:sz w:val="21"/>
          <w:szCs w:val="21"/>
          <w:lang w:val="zh-CN"/>
        </w:rPr>
      </w:pPr>
      <w:r>
        <w:rPr>
          <w:rFonts w:ascii="宋体" w:hAnsi="宋体" w:hint="eastAsia"/>
          <w:i/>
          <w:iCs/>
          <w:kern w:val="0"/>
          <w:sz w:val="21"/>
          <w:szCs w:val="21"/>
          <w:lang w:val="zh-CN"/>
        </w:rPr>
        <w:t>当金融负债的现时义务全部或部分已经解除时，终止确认该金融负债或义务已解除的部分。终止确认部分的账面价值与支付的对价之间的差额，计入当期损益。</w:t>
      </w:r>
    </w:p>
    <w:p w:rsidR="00A9288A" w:rsidRDefault="00A9288A">
      <w:pPr>
        <w:autoSpaceDE w:val="0"/>
        <w:autoSpaceDN w:val="0"/>
        <w:adjustRightInd w:val="0"/>
        <w:spacing w:before="0" w:after="120"/>
        <w:ind w:firstLine="420"/>
        <w:rPr>
          <w:rFonts w:eastAsia="Times New Roman" w:cs="Times New Roman"/>
          <w:kern w:val="0"/>
          <w:sz w:val="21"/>
          <w:szCs w:val="21"/>
          <w:lang w:val="zh-CN"/>
        </w:rPr>
      </w:pPr>
    </w:p>
    <w:p w:rsidR="00A9288A" w:rsidRDefault="007A4434">
      <w:pPr>
        <w:pStyle w:val="Section"/>
        <w:outlineLvl w:val="2"/>
        <w:rPr>
          <w:rFonts w:eastAsia="Times New Roman" w:cs="Times New Roman"/>
        </w:rPr>
      </w:pPr>
      <w:r>
        <w:rPr>
          <w:rFonts w:cs="Times New Roman"/>
        </w:rPr>
        <w:t>11</w:t>
      </w:r>
      <w:r>
        <w:rPr>
          <w:rFonts w:hint="eastAsia"/>
        </w:rPr>
        <w:t>、应收款项</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）单项金额重大并单独计提坏账准备的应收款项</w:t>
      </w:r>
    </w:p>
    <w:tbl>
      <w:tblPr>
        <w:tblW w:w="0" w:type="auto"/>
        <w:tblInd w:w="-5" w:type="dxa"/>
        <w:tblLayout w:type="fixed"/>
        <w:tblCellMar>
          <w:left w:w="28" w:type="dxa"/>
          <w:right w:w="28" w:type="dxa"/>
        </w:tblCellMar>
        <w:tblLook w:val="0000" w:firstRow="0" w:lastRow="0" w:firstColumn="0" w:lastColumn="0" w:noHBand="0" w:noVBand="0"/>
      </w:tblPr>
      <w:tblGrid>
        <w:gridCol w:w="4784"/>
        <w:gridCol w:w="4784"/>
      </w:tblGrid>
      <w:tr w:rsidR="00A9288A">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单项金额重大的判断依据或金额标准</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将单项金额超过</w:t>
            </w:r>
            <w:r>
              <w:rPr>
                <w:rFonts w:cs="Times New Roman"/>
              </w:rPr>
              <w:t>100</w:t>
            </w:r>
            <w:r>
              <w:rPr>
                <w:rFonts w:hint="eastAsia"/>
              </w:rPr>
              <w:t>万元的应收款项视为重大应收款项</w:t>
            </w:r>
          </w:p>
        </w:tc>
      </w:tr>
      <w:tr w:rsidR="00A9288A">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单项金额重大并单项计提坏账准备的计提方法</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根据其未来现金流量现值低于其账面价值的差额计提坏账准备</w:t>
            </w:r>
          </w:p>
        </w:tc>
      </w:tr>
    </w:tbl>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）按信用风险特征组合计提坏账准备的应收款项</w:t>
      </w:r>
    </w:p>
    <w:tbl>
      <w:tblPr>
        <w:tblW w:w="0" w:type="auto"/>
        <w:tblInd w:w="-5" w:type="dxa"/>
        <w:tblLayout w:type="fixed"/>
        <w:tblCellMar>
          <w:left w:w="28" w:type="dxa"/>
          <w:right w:w="28" w:type="dxa"/>
        </w:tblCellMar>
        <w:tblLook w:val="0000" w:firstRow="0" w:lastRow="0" w:firstColumn="0" w:lastColumn="0" w:noHBand="0" w:noVBand="0"/>
      </w:tblPr>
      <w:tblGrid>
        <w:gridCol w:w="4784"/>
        <w:gridCol w:w="4784"/>
      </w:tblGrid>
      <w:tr w:rsidR="00A9288A">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组合名称</w:t>
            </w:r>
          </w:p>
        </w:tc>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坏账准备计提方法</w:t>
            </w:r>
          </w:p>
        </w:tc>
      </w:tr>
      <w:tr w:rsidR="00A9288A">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账龄组合</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账龄分析法</w:t>
            </w:r>
          </w:p>
        </w:tc>
      </w:tr>
      <w:tr w:rsidR="00A9288A">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与交易对象关系组合</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r>
      <w:tr w:rsidR="00A9288A">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款项性质组合</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r>
    </w:tbl>
    <w:p w:rsidR="00A9288A" w:rsidRDefault="007A4434">
      <w:pPr>
        <w:jc w:val="left"/>
        <w:rPr>
          <w:rFonts w:eastAsia="Times New Roman" w:cs="Times New Roman"/>
        </w:rPr>
      </w:pPr>
      <w:r>
        <w:rPr>
          <w:rFonts w:hint="eastAsia"/>
        </w:rPr>
        <w:t>组合中，采用账龄分析法计提坏账准备的：</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tbl>
      <w:tblPr>
        <w:tblW w:w="0" w:type="auto"/>
        <w:tblInd w:w="-5" w:type="dxa"/>
        <w:tblLayout w:type="fixed"/>
        <w:tblCellMar>
          <w:left w:w="28" w:type="dxa"/>
          <w:right w:w="28" w:type="dxa"/>
        </w:tblCellMar>
        <w:tblLook w:val="0000" w:firstRow="0" w:lastRow="0" w:firstColumn="0" w:lastColumn="0" w:noHBand="0" w:noVBand="0"/>
      </w:tblPr>
      <w:tblGrid>
        <w:gridCol w:w="3189"/>
        <w:gridCol w:w="3190"/>
        <w:gridCol w:w="3190"/>
      </w:tblGrid>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账龄</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应收账款计提比例</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其他应收款计提比例</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年以内（含</w:t>
            </w:r>
            <w:r>
              <w:rPr>
                <w:rFonts w:cs="Times New Roman"/>
              </w:rPr>
              <w:t>1</w:t>
            </w:r>
            <w:r>
              <w:rPr>
                <w:rFonts w:hint="eastAsia"/>
              </w:rPr>
              <w:t>年）</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5.00%</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w:t>
            </w:r>
            <w:r>
              <w:rPr>
                <w:rFonts w:cs="Times New Roman"/>
              </w:rPr>
              <w:t>2</w:t>
            </w:r>
            <w:r>
              <w:rPr>
                <w:rFonts w:hint="eastAsia"/>
              </w:rPr>
              <w:t>年</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2</w:t>
            </w:r>
            <w:r>
              <w:rPr>
                <w:rFonts w:hint="eastAsia"/>
              </w:rPr>
              <w:t>－</w:t>
            </w:r>
            <w:r>
              <w:rPr>
                <w:rFonts w:cs="Times New Roman"/>
              </w:rPr>
              <w:t>3</w:t>
            </w:r>
            <w:r>
              <w:rPr>
                <w:rFonts w:hint="eastAsia"/>
              </w:rPr>
              <w:t>年</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30.00%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30.00%</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3</w:t>
            </w:r>
            <w:r>
              <w:rPr>
                <w:rFonts w:hint="eastAsia"/>
              </w:rPr>
              <w:t>－</w:t>
            </w:r>
            <w:r>
              <w:rPr>
                <w:rFonts w:cs="Times New Roman"/>
              </w:rPr>
              <w:t>4</w:t>
            </w:r>
            <w:r>
              <w:rPr>
                <w:rFonts w:hint="eastAsia"/>
              </w:rPr>
              <w:t>年</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50.00%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50.00%</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4</w:t>
            </w:r>
            <w:r>
              <w:rPr>
                <w:rFonts w:hint="eastAsia"/>
              </w:rPr>
              <w:t>－</w:t>
            </w:r>
            <w:r>
              <w:rPr>
                <w:rFonts w:cs="Times New Roman"/>
              </w:rPr>
              <w:t>5</w:t>
            </w:r>
            <w:r>
              <w:rPr>
                <w:rFonts w:hint="eastAsia"/>
              </w:rPr>
              <w:t>年</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80.00%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80.00%</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5</w:t>
            </w:r>
            <w:r>
              <w:rPr>
                <w:rFonts w:hint="eastAsia"/>
              </w:rPr>
              <w:t>年以上</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w:t>
            </w:r>
          </w:p>
        </w:tc>
      </w:tr>
    </w:tbl>
    <w:p w:rsidR="00A9288A" w:rsidRDefault="007A4434">
      <w:pPr>
        <w:jc w:val="left"/>
        <w:rPr>
          <w:rFonts w:eastAsia="Times New Roman" w:cs="Times New Roman"/>
        </w:rPr>
      </w:pPr>
      <w:r>
        <w:rPr>
          <w:rFonts w:hint="eastAsia"/>
        </w:rPr>
        <w:t>组合中，采用余额百分比法计提坏账准备的：</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组合中，采用其他方法计提坏账准备的：</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Section"/>
        <w:outlineLvl w:val="3"/>
        <w:rPr>
          <w:rFonts w:eastAsia="Times New Roman" w:cs="Times New Roman"/>
        </w:rPr>
      </w:pPr>
      <w:r>
        <w:rPr>
          <w:rFonts w:hint="eastAsia"/>
        </w:rPr>
        <w:t>（</w:t>
      </w:r>
      <w:r>
        <w:rPr>
          <w:rFonts w:cs="Times New Roman"/>
        </w:rPr>
        <w:t>3</w:t>
      </w:r>
      <w:r>
        <w:rPr>
          <w:rFonts w:hint="eastAsia"/>
        </w:rPr>
        <w:t>）单项金额不重大但单独计提坏账准备的应收款项</w:t>
      </w:r>
    </w:p>
    <w:tbl>
      <w:tblPr>
        <w:tblW w:w="0" w:type="auto"/>
        <w:tblInd w:w="-5" w:type="dxa"/>
        <w:tblLayout w:type="fixed"/>
        <w:tblCellMar>
          <w:left w:w="28" w:type="dxa"/>
          <w:right w:w="28" w:type="dxa"/>
        </w:tblCellMar>
        <w:tblLook w:val="0000" w:firstRow="0" w:lastRow="0" w:firstColumn="0" w:lastColumn="0" w:noHBand="0" w:noVBand="0"/>
      </w:tblPr>
      <w:tblGrid>
        <w:gridCol w:w="4784"/>
        <w:gridCol w:w="4784"/>
      </w:tblGrid>
      <w:tr w:rsidR="00A9288A">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单项计提坏账准备的理由</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单项金额不重大且按照组合计提坏账准备不能反映其风险特征的应收款项</w:t>
            </w:r>
          </w:p>
        </w:tc>
      </w:tr>
      <w:tr w:rsidR="00A9288A">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坏账准备的计提方法</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根据其未来现金流量现值低于其账面价值的差额，计提坏账</w:t>
            </w:r>
            <w:r>
              <w:rPr>
                <w:rFonts w:hint="eastAsia"/>
              </w:rPr>
              <w:lastRenderedPageBreak/>
              <w:t>准备</w:t>
            </w:r>
          </w:p>
        </w:tc>
      </w:tr>
    </w:tbl>
    <w:p w:rsidR="00A9288A" w:rsidRDefault="007A4434">
      <w:pPr>
        <w:pStyle w:val="Section"/>
        <w:outlineLvl w:val="2"/>
        <w:rPr>
          <w:rFonts w:eastAsia="Times New Roman" w:cs="Times New Roman"/>
        </w:rPr>
      </w:pPr>
      <w:r>
        <w:rPr>
          <w:rFonts w:cs="Times New Roman"/>
        </w:rPr>
        <w:lastRenderedPageBreak/>
        <w:t>12</w:t>
      </w:r>
      <w:r>
        <w:rPr>
          <w:rFonts w:hint="eastAsia"/>
        </w:rPr>
        <w:t>、存货</w:t>
      </w:r>
    </w:p>
    <w:p w:rsidR="00A9288A" w:rsidRDefault="007A4434">
      <w:pPr>
        <w:jc w:val="left"/>
        <w:rPr>
          <w:rFonts w:eastAsia="Times New Roman" w:cs="Times New Roman"/>
        </w:rPr>
      </w:pPr>
      <w:r>
        <w:rPr>
          <w:rFonts w:hint="eastAsia"/>
        </w:rPr>
        <w:t>公司是否需要遵守特殊行业的披露要求</w:t>
      </w:r>
    </w:p>
    <w:p w:rsidR="00A9288A" w:rsidRDefault="007A4434">
      <w:pPr>
        <w:jc w:val="left"/>
        <w:rPr>
          <w:rFonts w:eastAsia="Times New Roman" w:cs="Times New Roman"/>
        </w:rPr>
      </w:pPr>
      <w:r>
        <w:rPr>
          <w:rFonts w:hint="eastAsia"/>
        </w:rPr>
        <w:t>否</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本公司存货主要包括原材料、在产品、发出商品、库存商品等。</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存货采用永续盘存制，存货在取得时按实际成本计价；领用或发出存货，采用加权平均法确定其实际成本。低值易耗品采用五五摊销法进行摊销，包装物采用一次摊销法摊销。</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期末存货按成本与可变现净值孰低原则计价，对于存货因遭受毁损、全部或部分陈旧过时或销售价格低于成本等原因，预计其成本不可收回的部分，提取存货跌价准备。</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库存商品、在产品和用于出售的材料等直接用于出售的商品存货，其可变现净值按该存货的估计售价减去估计的销售费用和相关税费后的金额确定；用于生产而持有的材料存货，其可变现净值按所生产的产成品的估计售价减去至完工时估计将要发生的成本、估计的销售费用和相关税费后的金额确定。</w:t>
      </w:r>
    </w:p>
    <w:p w:rsidR="00A9288A" w:rsidRDefault="00A9288A">
      <w:pPr>
        <w:autoSpaceDE w:val="0"/>
        <w:autoSpaceDN w:val="0"/>
        <w:adjustRightInd w:val="0"/>
        <w:spacing w:before="0" w:after="120"/>
        <w:ind w:firstLine="420"/>
        <w:rPr>
          <w:rFonts w:eastAsia="Times New Roman" w:cs="Times New Roman"/>
          <w:kern w:val="0"/>
          <w:sz w:val="21"/>
          <w:szCs w:val="21"/>
          <w:lang w:val="zh-CN"/>
        </w:rPr>
      </w:pPr>
    </w:p>
    <w:p w:rsidR="00A9288A" w:rsidRDefault="007A4434">
      <w:pPr>
        <w:pStyle w:val="Section"/>
        <w:outlineLvl w:val="2"/>
        <w:rPr>
          <w:rFonts w:eastAsia="Times New Roman" w:cs="Times New Roman"/>
        </w:rPr>
      </w:pPr>
      <w:r>
        <w:rPr>
          <w:rFonts w:cs="Times New Roman"/>
        </w:rPr>
        <w:t>13</w:t>
      </w:r>
      <w:r>
        <w:rPr>
          <w:rFonts w:hint="eastAsia"/>
        </w:rPr>
        <w:t>、持有待售资产</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本公司将同时满足下列条件的企业组成部分（或非流动资产）划分为持有待售：</w:t>
      </w:r>
      <w:r>
        <w:rPr>
          <w:rFonts w:eastAsia="Times New Roman" w:cs="Times New Roman"/>
          <w:kern w:val="0"/>
          <w:sz w:val="21"/>
          <w:szCs w:val="21"/>
          <w:lang w:val="zh-CN"/>
        </w:rPr>
        <w:t xml:space="preserve">(1) </w:t>
      </w:r>
      <w:r>
        <w:rPr>
          <w:rFonts w:ascii="宋体" w:hAnsi="宋体" w:hint="eastAsia"/>
          <w:kern w:val="0"/>
          <w:sz w:val="21"/>
          <w:szCs w:val="21"/>
          <w:lang w:val="zh-CN"/>
        </w:rPr>
        <w:t>根据类似交易中出售此类资产或处置组的惯例，在当前状况下即可立即出售；</w:t>
      </w:r>
      <w:r>
        <w:rPr>
          <w:rFonts w:eastAsia="Times New Roman" w:cs="Times New Roman"/>
          <w:kern w:val="0"/>
          <w:sz w:val="21"/>
          <w:szCs w:val="21"/>
          <w:lang w:val="zh-CN"/>
        </w:rPr>
        <w:t xml:space="preserve">(2) </w:t>
      </w:r>
      <w:r>
        <w:rPr>
          <w:rFonts w:ascii="宋体" w:hAnsi="宋体" w:hint="eastAsia"/>
          <w:kern w:val="0"/>
          <w:sz w:val="21"/>
          <w:szCs w:val="21"/>
          <w:lang w:val="zh-CN"/>
        </w:rPr>
        <w:t>出售极可能发生，已经就一项出售计划作出决议且获得确定的购买承诺（确定的购买承诺，是指企业与其他方签订的具有法律约束力的购买协议，该协议包含交易价格、时间和足够严厉的违约惩罚等重要条款，使协议出现重大调整或者撤销的可能性极小。），预计出售将在一年内完成。已经获得按照有关规定需得到相关权力机构或者监管部门的批准。</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公司将持有待售的预计净残值调整为反映其公允价值减去出售费用后的净额（但不得超过该项持有待售的原账面价值），原账面价值高于调整后预计净残值的差额，作为资产减值损失计入当期损益，同时计提持有待售资产减值准备。对于持有待售的处置组确认的资产减值损失金额，应当先抵减处置组中商誉的账面价值，再根据处置组中适用本准则计量规定的各项非流动资产账面价值所占比重，按比例抵减其账面价值。</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后续资产负债表日持有待售的非流动资产公允价值减去出售费用后的净额增加的，以前减记的金额应当予以恢复，并在划分为持有待售类别后确认的资产减值损失金额内转回，转回金额计入当期损益。划分为持有待售类别前确认的资产减值损失不得转回。后续资产负债表日持有待售的处置组公允价值减去出售费用后的净额增加的，以前减记的金额应当予以恢复，并在划分为持有待售类别后适用本准则计量规定的非流动资产确认的资产减值损失金额内转回，转回金额计入当期损益。已抵减的商誉账面价值，以及适用本准则计量规定的非流动资产在划分为持有待售类别前确认的资产减值损失不得转回。持有待售的处置组确认的资产减值损失后续转回金额，</w:t>
      </w:r>
      <w:r>
        <w:rPr>
          <w:rFonts w:eastAsia="Times New Roman" w:cs="Times New Roman"/>
          <w:kern w:val="0"/>
          <w:sz w:val="21"/>
          <w:szCs w:val="21"/>
          <w:lang w:val="zh-CN"/>
        </w:rPr>
        <w:t xml:space="preserve"> </w:t>
      </w:r>
      <w:r>
        <w:rPr>
          <w:rFonts w:ascii="宋体" w:hAnsi="宋体" w:hint="eastAsia"/>
          <w:kern w:val="0"/>
          <w:sz w:val="21"/>
          <w:szCs w:val="21"/>
          <w:lang w:val="zh-CN"/>
        </w:rPr>
        <w:t>应当根据处置组中除商誉外适用本准则计量规定的各项非流动资产账面价值所占比重，按比例增加其账面价值。</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企业因出售对子公司的投资等原因导致其丧失对子公司控制权的，无论出售后企业是否保留部分权益性投资，应当在拟出售的对子公司投资满足持有待售类别划分条件时，在母公司个别财务报表中将对子公司投资整体划分为持有待售类别，在合并财务报表中将子公司所有资产和负债划分为持有待售类别。</w:t>
      </w:r>
    </w:p>
    <w:p w:rsidR="00A9288A" w:rsidRDefault="00A9288A">
      <w:pPr>
        <w:autoSpaceDE w:val="0"/>
        <w:autoSpaceDN w:val="0"/>
        <w:adjustRightInd w:val="0"/>
        <w:spacing w:before="0" w:after="120"/>
        <w:ind w:firstLine="420"/>
        <w:rPr>
          <w:rFonts w:eastAsia="Times New Roman" w:cs="Times New Roman"/>
          <w:kern w:val="0"/>
          <w:sz w:val="21"/>
          <w:szCs w:val="21"/>
          <w:lang w:val="zh-CN"/>
        </w:rPr>
      </w:pPr>
    </w:p>
    <w:p w:rsidR="00A9288A" w:rsidRDefault="007A4434">
      <w:pPr>
        <w:pStyle w:val="Section"/>
        <w:outlineLvl w:val="2"/>
        <w:rPr>
          <w:rFonts w:eastAsia="Times New Roman" w:cs="Times New Roman"/>
        </w:rPr>
      </w:pPr>
      <w:r>
        <w:rPr>
          <w:rFonts w:cs="Times New Roman"/>
        </w:rPr>
        <w:lastRenderedPageBreak/>
        <w:t>14</w:t>
      </w:r>
      <w:r>
        <w:rPr>
          <w:rFonts w:hint="eastAsia"/>
        </w:rPr>
        <w:t>、长期股权投资</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eastAsia="Times New Roman" w:cs="Times New Roman"/>
          <w:kern w:val="0"/>
          <w:sz w:val="21"/>
          <w:szCs w:val="21"/>
          <w:lang w:val="zh-CN"/>
        </w:rPr>
        <w:t xml:space="preserve">1. </w:t>
      </w:r>
      <w:r>
        <w:rPr>
          <w:rFonts w:ascii="宋体" w:hAnsi="宋体" w:hint="eastAsia"/>
          <w:kern w:val="0"/>
          <w:sz w:val="21"/>
          <w:szCs w:val="21"/>
          <w:lang w:val="zh-CN"/>
        </w:rPr>
        <w:t>投资成本的确定</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1</w:t>
      </w:r>
      <w:r>
        <w:rPr>
          <w:rFonts w:ascii="宋体" w:hAnsi="宋体" w:hint="eastAsia"/>
          <w:kern w:val="0"/>
          <w:sz w:val="21"/>
          <w:szCs w:val="21"/>
          <w:lang w:val="zh-CN"/>
        </w:rPr>
        <w:t>）同一控制下的企业合并形成的，合并方以支付现金、转让非现金资产、承担债务或发行权益性证券作为合并对价的，在合并日按照被合并方所有者权益在最终控制方合并财务报表中的账面价值的份额作为其初始投资成本。长期股权投资初始投资成本与支付的合并对价的账面价值或发行股份的面值总额之间的差额调整资本公积</w:t>
      </w:r>
      <w:r>
        <w:rPr>
          <w:rFonts w:eastAsia="Times New Roman" w:cs="Times New Roman"/>
          <w:kern w:val="0"/>
          <w:sz w:val="21"/>
          <w:szCs w:val="21"/>
          <w:lang w:val="zh-CN"/>
        </w:rPr>
        <w:t>(</w:t>
      </w:r>
      <w:r>
        <w:rPr>
          <w:rFonts w:ascii="宋体" w:hAnsi="宋体" w:hint="eastAsia"/>
          <w:kern w:val="0"/>
          <w:sz w:val="21"/>
          <w:szCs w:val="21"/>
          <w:lang w:val="zh-CN"/>
        </w:rPr>
        <w:t>资本溢价或股本溢价</w:t>
      </w:r>
      <w:r>
        <w:rPr>
          <w:rFonts w:eastAsia="Times New Roman" w:cs="Times New Roman"/>
          <w:kern w:val="0"/>
          <w:sz w:val="21"/>
          <w:szCs w:val="21"/>
          <w:lang w:val="zh-CN"/>
        </w:rPr>
        <w:t>)</w:t>
      </w:r>
      <w:r>
        <w:rPr>
          <w:rFonts w:ascii="宋体" w:hAnsi="宋体" w:hint="eastAsia"/>
          <w:kern w:val="0"/>
          <w:sz w:val="21"/>
          <w:szCs w:val="21"/>
          <w:lang w:val="zh-CN"/>
        </w:rPr>
        <w:t>；资本公积不足冲减的，调整留存收益。</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分步实现同一控制下企业合并的，应当以持股比例计算的合并日应享有被合并方账面所有者权益份额作为该项投资的初始投资成本。初始投资成本与其原长期股权投资账面价值加上合并日取得进一步股份新支付对价的账面价值之和的差额，调整资本公积（资本溢价或股本溢价），资本公积不足冲减的，冲减留存收益。</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2</w:t>
      </w:r>
      <w:r>
        <w:rPr>
          <w:rFonts w:ascii="宋体" w:hAnsi="宋体" w:hint="eastAsia"/>
          <w:kern w:val="0"/>
          <w:sz w:val="21"/>
          <w:szCs w:val="21"/>
          <w:lang w:val="zh-CN"/>
        </w:rPr>
        <w:t>）非同一控制下的企业合并形成的，在购买日按照支付的合并对价的公允价值作为其初始投资成本。</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3</w:t>
      </w:r>
      <w:r>
        <w:rPr>
          <w:rFonts w:ascii="宋体" w:hAnsi="宋体" w:hint="eastAsia"/>
          <w:kern w:val="0"/>
          <w:sz w:val="21"/>
          <w:szCs w:val="21"/>
          <w:lang w:val="zh-CN"/>
        </w:rPr>
        <w:t>）除企业合并形成以外的：以支付现金取得的，按照实际支付的购买价款作为其初始投资成本；以发行权益性证券取得的，按照发行权益性证券的公允价值作为其初始投资成本；投资者投入的，按照投资合同或协议约定的价值作为其初始投资成本（合同或协议约定价值不公允的除外）。</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eastAsia="Times New Roman" w:cs="Times New Roman"/>
          <w:kern w:val="0"/>
          <w:sz w:val="21"/>
          <w:szCs w:val="21"/>
          <w:lang w:val="zh-CN"/>
        </w:rPr>
        <w:t>2.</w:t>
      </w:r>
      <w:r>
        <w:rPr>
          <w:rFonts w:ascii="宋体" w:hAnsi="宋体" w:hint="eastAsia"/>
          <w:kern w:val="0"/>
          <w:sz w:val="21"/>
          <w:szCs w:val="21"/>
          <w:lang w:val="zh-CN"/>
        </w:rPr>
        <w:t>后续计量及损益确认方法</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本公司能够对被投资单位实施控制的长期股权投资</w:t>
      </w:r>
      <w:r>
        <w:rPr>
          <w:rFonts w:eastAsia="Times New Roman" w:cs="Times New Roman"/>
          <w:kern w:val="0"/>
          <w:sz w:val="21"/>
          <w:szCs w:val="21"/>
          <w:lang w:val="zh-CN"/>
        </w:rPr>
        <w:t>,</w:t>
      </w:r>
      <w:r>
        <w:rPr>
          <w:rFonts w:ascii="宋体" w:hAnsi="宋体" w:hint="eastAsia"/>
          <w:kern w:val="0"/>
          <w:sz w:val="21"/>
          <w:szCs w:val="21"/>
          <w:lang w:val="zh-CN"/>
        </w:rPr>
        <w:t>在本公司个别财务报表中采用成本法核算；对具有共同控制或重大影响的长期股权投资，采用权益法核算。</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采用成本法时</w:t>
      </w:r>
      <w:r>
        <w:rPr>
          <w:rFonts w:eastAsia="Times New Roman" w:cs="Times New Roman"/>
          <w:kern w:val="0"/>
          <w:sz w:val="21"/>
          <w:szCs w:val="21"/>
          <w:lang w:val="zh-CN"/>
        </w:rPr>
        <w:t>,</w:t>
      </w:r>
      <w:r>
        <w:rPr>
          <w:rFonts w:ascii="宋体" w:hAnsi="宋体" w:hint="eastAsia"/>
          <w:kern w:val="0"/>
          <w:sz w:val="21"/>
          <w:szCs w:val="21"/>
          <w:lang w:val="zh-CN"/>
        </w:rPr>
        <w:t>长期股权投资按初始投资成本计价</w:t>
      </w:r>
      <w:r>
        <w:rPr>
          <w:rFonts w:eastAsia="Times New Roman" w:cs="Times New Roman"/>
          <w:kern w:val="0"/>
          <w:sz w:val="21"/>
          <w:szCs w:val="21"/>
          <w:lang w:val="zh-CN"/>
        </w:rPr>
        <w:t>,</w:t>
      </w:r>
      <w:r>
        <w:rPr>
          <w:rFonts w:ascii="宋体" w:hAnsi="宋体" w:hint="eastAsia"/>
          <w:kern w:val="0"/>
          <w:sz w:val="21"/>
          <w:szCs w:val="21"/>
          <w:lang w:val="zh-CN"/>
        </w:rPr>
        <w:t>除取得投资时实际支付的价款或对价中包含的已宣告但尚未发放的现金股利或利润外</w:t>
      </w:r>
      <w:r>
        <w:rPr>
          <w:rFonts w:eastAsia="Times New Roman" w:cs="Times New Roman"/>
          <w:kern w:val="0"/>
          <w:sz w:val="21"/>
          <w:szCs w:val="21"/>
          <w:lang w:val="zh-CN"/>
        </w:rPr>
        <w:t>,</w:t>
      </w:r>
      <w:r>
        <w:rPr>
          <w:rFonts w:ascii="宋体" w:hAnsi="宋体" w:hint="eastAsia"/>
          <w:kern w:val="0"/>
          <w:sz w:val="21"/>
          <w:szCs w:val="21"/>
          <w:lang w:val="zh-CN"/>
        </w:rPr>
        <w:t>按享有被投资单位宣告分派的现金股利或利润</w:t>
      </w:r>
      <w:r>
        <w:rPr>
          <w:rFonts w:eastAsia="Times New Roman" w:cs="Times New Roman"/>
          <w:kern w:val="0"/>
          <w:sz w:val="21"/>
          <w:szCs w:val="21"/>
          <w:lang w:val="zh-CN"/>
        </w:rPr>
        <w:t>,</w:t>
      </w:r>
      <w:r>
        <w:rPr>
          <w:rFonts w:ascii="宋体" w:hAnsi="宋体" w:hint="eastAsia"/>
          <w:kern w:val="0"/>
          <w:sz w:val="21"/>
          <w:szCs w:val="21"/>
          <w:lang w:val="zh-CN"/>
        </w:rPr>
        <w:t>确认为当期投资收益</w:t>
      </w:r>
      <w:r>
        <w:rPr>
          <w:rFonts w:eastAsia="Times New Roman" w:cs="Times New Roman"/>
          <w:kern w:val="0"/>
          <w:sz w:val="21"/>
          <w:szCs w:val="21"/>
          <w:lang w:val="zh-CN"/>
        </w:rPr>
        <w:t>,</w:t>
      </w:r>
      <w:r>
        <w:rPr>
          <w:rFonts w:ascii="宋体" w:hAnsi="宋体" w:hint="eastAsia"/>
          <w:kern w:val="0"/>
          <w:sz w:val="21"/>
          <w:szCs w:val="21"/>
          <w:lang w:val="zh-CN"/>
        </w:rPr>
        <w:t>并同时根据有关资产减值政策考虑长期投资是否减值。</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采用权益法时</w:t>
      </w:r>
      <w:r>
        <w:rPr>
          <w:rFonts w:eastAsia="Times New Roman" w:cs="Times New Roman"/>
          <w:kern w:val="0"/>
          <w:sz w:val="21"/>
          <w:szCs w:val="21"/>
          <w:lang w:val="zh-CN"/>
        </w:rPr>
        <w:t>,</w:t>
      </w:r>
      <w:r>
        <w:rPr>
          <w:rFonts w:ascii="宋体" w:hAnsi="宋体" w:hint="eastAsia"/>
          <w:kern w:val="0"/>
          <w:sz w:val="21"/>
          <w:szCs w:val="21"/>
          <w:lang w:val="zh-CN"/>
        </w:rPr>
        <w:t>长期股权投资的初始投资成本大于投资时应享有被投资单位可辨认净资产公允价值份额的</w:t>
      </w:r>
      <w:r>
        <w:rPr>
          <w:rFonts w:eastAsia="Times New Roman" w:cs="Times New Roman"/>
          <w:kern w:val="0"/>
          <w:sz w:val="21"/>
          <w:szCs w:val="21"/>
          <w:lang w:val="zh-CN"/>
        </w:rPr>
        <w:t>,</w:t>
      </w:r>
      <w:r>
        <w:rPr>
          <w:rFonts w:ascii="宋体" w:hAnsi="宋体" w:hint="eastAsia"/>
          <w:kern w:val="0"/>
          <w:sz w:val="21"/>
          <w:szCs w:val="21"/>
          <w:lang w:val="zh-CN"/>
        </w:rPr>
        <w:t>归入长期股权投资的初始投资成本；长期股权投资的初始投资成本小于投资时应享有被投资单位可辨认净资产公允价值份额的</w:t>
      </w:r>
      <w:r>
        <w:rPr>
          <w:rFonts w:eastAsia="Times New Roman" w:cs="Times New Roman"/>
          <w:kern w:val="0"/>
          <w:sz w:val="21"/>
          <w:szCs w:val="21"/>
          <w:lang w:val="zh-CN"/>
        </w:rPr>
        <w:t>,</w:t>
      </w:r>
      <w:r>
        <w:rPr>
          <w:rFonts w:ascii="宋体" w:hAnsi="宋体" w:hint="eastAsia"/>
          <w:kern w:val="0"/>
          <w:sz w:val="21"/>
          <w:szCs w:val="21"/>
          <w:lang w:val="zh-CN"/>
        </w:rPr>
        <w:t>其差额计入当期损益</w:t>
      </w:r>
      <w:r>
        <w:rPr>
          <w:rFonts w:eastAsia="Times New Roman" w:cs="Times New Roman"/>
          <w:kern w:val="0"/>
          <w:sz w:val="21"/>
          <w:szCs w:val="21"/>
          <w:lang w:val="zh-CN"/>
        </w:rPr>
        <w:t>,</w:t>
      </w:r>
      <w:r>
        <w:rPr>
          <w:rFonts w:ascii="宋体" w:hAnsi="宋体" w:hint="eastAsia"/>
          <w:kern w:val="0"/>
          <w:sz w:val="21"/>
          <w:szCs w:val="21"/>
          <w:lang w:val="zh-CN"/>
        </w:rPr>
        <w:t>同时调整长期股权投资的成本。</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采用权益法时</w:t>
      </w:r>
      <w:r>
        <w:rPr>
          <w:rFonts w:eastAsia="Times New Roman" w:cs="Times New Roman"/>
          <w:kern w:val="0"/>
          <w:sz w:val="21"/>
          <w:szCs w:val="21"/>
          <w:lang w:val="zh-CN"/>
        </w:rPr>
        <w:t>,</w:t>
      </w:r>
      <w:r>
        <w:rPr>
          <w:rFonts w:ascii="宋体" w:hAnsi="宋体" w:hint="eastAsia"/>
          <w:kern w:val="0"/>
          <w:sz w:val="21"/>
          <w:szCs w:val="21"/>
          <w:lang w:val="zh-CN"/>
        </w:rPr>
        <w:t>取得长期股权投资后</w:t>
      </w:r>
      <w:r>
        <w:rPr>
          <w:rFonts w:eastAsia="Times New Roman" w:cs="Times New Roman"/>
          <w:kern w:val="0"/>
          <w:sz w:val="21"/>
          <w:szCs w:val="21"/>
          <w:lang w:val="zh-CN"/>
        </w:rPr>
        <w:t>,</w:t>
      </w:r>
      <w:r>
        <w:rPr>
          <w:rFonts w:ascii="宋体" w:hAnsi="宋体" w:hint="eastAsia"/>
          <w:kern w:val="0"/>
          <w:sz w:val="21"/>
          <w:szCs w:val="21"/>
          <w:lang w:val="zh-CN"/>
        </w:rPr>
        <w:t>按照应享有或应分担的被投资单位实现的净损益的份额</w:t>
      </w:r>
      <w:r>
        <w:rPr>
          <w:rFonts w:eastAsia="Times New Roman" w:cs="Times New Roman"/>
          <w:kern w:val="0"/>
          <w:sz w:val="21"/>
          <w:szCs w:val="21"/>
          <w:lang w:val="zh-CN"/>
        </w:rPr>
        <w:t>,</w:t>
      </w:r>
      <w:r>
        <w:rPr>
          <w:rFonts w:ascii="宋体" w:hAnsi="宋体" w:hint="eastAsia"/>
          <w:kern w:val="0"/>
          <w:sz w:val="21"/>
          <w:szCs w:val="21"/>
          <w:lang w:val="zh-CN"/>
        </w:rPr>
        <w:t>确认投资损益并调整长期股权投资的账面价值。在确认应享有被投资单位净损益的份额时</w:t>
      </w:r>
      <w:r>
        <w:rPr>
          <w:rFonts w:eastAsia="Times New Roman" w:cs="Times New Roman"/>
          <w:kern w:val="0"/>
          <w:sz w:val="21"/>
          <w:szCs w:val="21"/>
          <w:lang w:val="zh-CN"/>
        </w:rPr>
        <w:t>,</w:t>
      </w:r>
      <w:r>
        <w:rPr>
          <w:rFonts w:ascii="宋体" w:hAnsi="宋体" w:hint="eastAsia"/>
          <w:kern w:val="0"/>
          <w:sz w:val="21"/>
          <w:szCs w:val="21"/>
          <w:lang w:val="zh-CN"/>
        </w:rPr>
        <w:t>以取得投资时被投资单位各项可辨认资产等的公允价值为基础</w:t>
      </w:r>
      <w:r>
        <w:rPr>
          <w:rFonts w:eastAsia="Times New Roman" w:cs="Times New Roman"/>
          <w:kern w:val="0"/>
          <w:sz w:val="21"/>
          <w:szCs w:val="21"/>
          <w:lang w:val="zh-CN"/>
        </w:rPr>
        <w:t>,</w:t>
      </w:r>
      <w:r>
        <w:rPr>
          <w:rFonts w:ascii="宋体" w:hAnsi="宋体" w:hint="eastAsia"/>
          <w:kern w:val="0"/>
          <w:sz w:val="21"/>
          <w:szCs w:val="21"/>
          <w:lang w:val="zh-CN"/>
        </w:rPr>
        <w:t>按照本公司的会计政策及会计期间</w:t>
      </w:r>
      <w:r>
        <w:rPr>
          <w:rFonts w:eastAsia="Times New Roman" w:cs="Times New Roman"/>
          <w:kern w:val="0"/>
          <w:sz w:val="21"/>
          <w:szCs w:val="21"/>
          <w:lang w:val="zh-CN"/>
        </w:rPr>
        <w:t>,</w:t>
      </w:r>
      <w:r>
        <w:rPr>
          <w:rFonts w:ascii="宋体" w:hAnsi="宋体" w:hint="eastAsia"/>
          <w:kern w:val="0"/>
          <w:sz w:val="21"/>
          <w:szCs w:val="21"/>
          <w:lang w:val="zh-CN"/>
        </w:rPr>
        <w:t>并抵销与联营企业及合营企业之间发生的内部交易损益按照持股比例计算归属于投资企业的部分</w:t>
      </w:r>
      <w:r>
        <w:rPr>
          <w:rFonts w:eastAsia="Times New Roman" w:cs="Times New Roman"/>
          <w:kern w:val="0"/>
          <w:sz w:val="21"/>
          <w:szCs w:val="21"/>
          <w:lang w:val="zh-CN"/>
        </w:rPr>
        <w:t>(</w:t>
      </w:r>
      <w:r>
        <w:rPr>
          <w:rFonts w:ascii="宋体" w:hAnsi="宋体" w:hint="eastAsia"/>
          <w:kern w:val="0"/>
          <w:sz w:val="21"/>
          <w:szCs w:val="21"/>
          <w:lang w:val="zh-CN"/>
        </w:rPr>
        <w:t>但内部交易损失属于资产减值损失的</w:t>
      </w:r>
      <w:r>
        <w:rPr>
          <w:rFonts w:eastAsia="Times New Roman" w:cs="Times New Roman"/>
          <w:kern w:val="0"/>
          <w:sz w:val="21"/>
          <w:szCs w:val="21"/>
          <w:lang w:val="zh-CN"/>
        </w:rPr>
        <w:t>,</w:t>
      </w:r>
      <w:r>
        <w:rPr>
          <w:rFonts w:ascii="宋体" w:hAnsi="宋体" w:hint="eastAsia"/>
          <w:kern w:val="0"/>
          <w:sz w:val="21"/>
          <w:szCs w:val="21"/>
          <w:lang w:val="zh-CN"/>
        </w:rPr>
        <w:t>应全额确认</w:t>
      </w:r>
      <w:r>
        <w:rPr>
          <w:rFonts w:eastAsia="Times New Roman" w:cs="Times New Roman"/>
          <w:kern w:val="0"/>
          <w:sz w:val="21"/>
          <w:szCs w:val="21"/>
          <w:lang w:val="zh-CN"/>
        </w:rPr>
        <w:t>),</w:t>
      </w:r>
      <w:r>
        <w:rPr>
          <w:rFonts w:ascii="宋体" w:hAnsi="宋体" w:hint="eastAsia"/>
          <w:kern w:val="0"/>
          <w:sz w:val="21"/>
          <w:szCs w:val="21"/>
          <w:lang w:val="zh-CN"/>
        </w:rPr>
        <w:t>对被投资单位的净利润进行调整后确认。按照被投资单位宣告分派的利润或现金股利计算应分得的部分</w:t>
      </w:r>
      <w:r>
        <w:rPr>
          <w:rFonts w:eastAsia="Times New Roman" w:cs="Times New Roman"/>
          <w:kern w:val="0"/>
          <w:sz w:val="21"/>
          <w:szCs w:val="21"/>
          <w:lang w:val="zh-CN"/>
        </w:rPr>
        <w:t>,</w:t>
      </w:r>
      <w:r>
        <w:rPr>
          <w:rFonts w:ascii="宋体" w:hAnsi="宋体" w:hint="eastAsia"/>
          <w:kern w:val="0"/>
          <w:sz w:val="21"/>
          <w:szCs w:val="21"/>
          <w:lang w:val="zh-CN"/>
        </w:rPr>
        <w:t>相应减少长期股权投资的账面价值。本公司确认被投资单位发生的净亏损</w:t>
      </w:r>
      <w:r>
        <w:rPr>
          <w:rFonts w:eastAsia="Times New Roman" w:cs="Times New Roman"/>
          <w:kern w:val="0"/>
          <w:sz w:val="21"/>
          <w:szCs w:val="21"/>
          <w:lang w:val="zh-CN"/>
        </w:rPr>
        <w:t>,</w:t>
      </w:r>
      <w:r>
        <w:rPr>
          <w:rFonts w:ascii="宋体" w:hAnsi="宋体" w:hint="eastAsia"/>
          <w:kern w:val="0"/>
          <w:sz w:val="21"/>
          <w:szCs w:val="21"/>
          <w:lang w:val="zh-CN"/>
        </w:rPr>
        <w:t>以长期股权投资的账面价值以及其他实质上构成对被投资单位净投资的长期权益减记至零为限</w:t>
      </w:r>
      <w:r>
        <w:rPr>
          <w:rFonts w:eastAsia="Times New Roman" w:cs="Times New Roman"/>
          <w:kern w:val="0"/>
          <w:sz w:val="21"/>
          <w:szCs w:val="21"/>
          <w:lang w:val="zh-CN"/>
        </w:rPr>
        <w:t>,</w:t>
      </w:r>
      <w:r>
        <w:rPr>
          <w:rFonts w:ascii="宋体" w:hAnsi="宋体" w:hint="eastAsia"/>
          <w:kern w:val="0"/>
          <w:sz w:val="21"/>
          <w:szCs w:val="21"/>
          <w:lang w:val="zh-CN"/>
        </w:rPr>
        <w:t>本公司负有承担额外损失义务的除外。对于被投资单位除净损益以外所有者权益的其他变动</w:t>
      </w:r>
      <w:r>
        <w:rPr>
          <w:rFonts w:eastAsia="Times New Roman" w:cs="Times New Roman"/>
          <w:kern w:val="0"/>
          <w:sz w:val="21"/>
          <w:szCs w:val="21"/>
          <w:lang w:val="zh-CN"/>
        </w:rPr>
        <w:t>,</w:t>
      </w:r>
      <w:r>
        <w:rPr>
          <w:rFonts w:ascii="宋体" w:hAnsi="宋体" w:hint="eastAsia"/>
          <w:kern w:val="0"/>
          <w:sz w:val="21"/>
          <w:szCs w:val="21"/>
          <w:lang w:val="zh-CN"/>
        </w:rPr>
        <w:t>调整长期股权投资的账面价值并计入所有者权益。</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eastAsia="Times New Roman" w:cs="Times New Roman"/>
          <w:kern w:val="0"/>
          <w:sz w:val="21"/>
          <w:szCs w:val="21"/>
          <w:lang w:val="zh-CN"/>
        </w:rPr>
        <w:t>3.</w:t>
      </w:r>
      <w:r>
        <w:rPr>
          <w:rFonts w:ascii="宋体" w:hAnsi="宋体" w:hint="eastAsia"/>
          <w:kern w:val="0"/>
          <w:sz w:val="21"/>
          <w:szCs w:val="21"/>
          <w:lang w:val="zh-CN"/>
        </w:rPr>
        <w:t>确定对被投资单位具有控制、重大影响的依据</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控制，是指拥有对被投资方的权力，通过参与被投资方的相关活动而享有可变回报，并且有能力运用对被投资方的权力影响回报金额；重大影响，是指投资方对被投资单位的财务和经营政策有参与决策的权力，但并不能够控制或者与其他方一起共同控制这些政策的制定。</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eastAsia="Times New Roman" w:cs="Times New Roman"/>
          <w:kern w:val="0"/>
          <w:sz w:val="21"/>
          <w:szCs w:val="21"/>
          <w:lang w:val="zh-CN"/>
        </w:rPr>
        <w:t>4.</w:t>
      </w:r>
      <w:r>
        <w:rPr>
          <w:rFonts w:ascii="宋体" w:hAnsi="宋体" w:hint="eastAsia"/>
          <w:kern w:val="0"/>
          <w:sz w:val="21"/>
          <w:szCs w:val="21"/>
          <w:lang w:val="zh-CN"/>
        </w:rPr>
        <w:t>长期股权投资的处置</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lastRenderedPageBreak/>
        <w:t>（</w:t>
      </w:r>
      <w:r>
        <w:rPr>
          <w:rFonts w:eastAsia="Times New Roman" w:cs="Times New Roman"/>
          <w:kern w:val="0"/>
          <w:sz w:val="21"/>
          <w:szCs w:val="21"/>
          <w:lang w:val="zh-CN"/>
        </w:rPr>
        <w:t>1</w:t>
      </w:r>
      <w:r>
        <w:rPr>
          <w:rFonts w:ascii="宋体" w:hAnsi="宋体" w:hint="eastAsia"/>
          <w:kern w:val="0"/>
          <w:sz w:val="21"/>
          <w:szCs w:val="21"/>
          <w:lang w:val="zh-CN"/>
        </w:rPr>
        <w:t>）部分处置对子公司的长期股权投资，但不丧失控制权的情形</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部分处置对子公司的长期股权投资，但不丧失控制权时，应当将处置价款与处置投资对应的账面价值的差额确认为当期投资收益。</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2</w:t>
      </w:r>
      <w:r>
        <w:rPr>
          <w:rFonts w:ascii="宋体" w:hAnsi="宋体" w:hint="eastAsia"/>
          <w:kern w:val="0"/>
          <w:sz w:val="21"/>
          <w:szCs w:val="21"/>
          <w:lang w:val="zh-CN"/>
        </w:rPr>
        <w:t>）部分处置股权投资或其他原因丧失了对子公司控制权的情形</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部分处置股权投资或其他原因丧失了对子公司控制权的，对于处置的股权，应结转与所售股权相对应的长期股权投资的账面价值，出售所得价款与处置长期股权投资账面价值之间差额，确认为投资收益（损失）；同时，对于剩余股权，应当按其账面价值确认为长期股权投资或其它相关金融资产。处置后的剩余股权能够对子公司实施共同控制或重大影响的，应按有关成本法转为权益法的相关规定进行会计处理。</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eastAsia="Times New Roman" w:cs="Times New Roman"/>
          <w:kern w:val="0"/>
          <w:sz w:val="21"/>
          <w:szCs w:val="21"/>
          <w:lang w:val="zh-CN"/>
        </w:rPr>
        <w:t>5.</w:t>
      </w:r>
      <w:r>
        <w:rPr>
          <w:rFonts w:ascii="宋体" w:hAnsi="宋体" w:hint="eastAsia"/>
          <w:kern w:val="0"/>
          <w:sz w:val="21"/>
          <w:szCs w:val="21"/>
          <w:lang w:val="zh-CN"/>
        </w:rPr>
        <w:t>减值测试方法及减值准备计提方法</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对子公司、联营企业及合营企业的投资，在资产负债表日有客观证据表明其发生减值的，按照账面价值与可收回金额的差额计提相应的减值准备。</w:t>
      </w:r>
    </w:p>
    <w:p w:rsidR="00A9288A" w:rsidRDefault="00A9288A">
      <w:pPr>
        <w:autoSpaceDE w:val="0"/>
        <w:autoSpaceDN w:val="0"/>
        <w:adjustRightInd w:val="0"/>
        <w:spacing w:before="0" w:after="120"/>
        <w:ind w:firstLine="420"/>
        <w:rPr>
          <w:rFonts w:eastAsia="Times New Roman" w:cs="Times New Roman"/>
          <w:i/>
          <w:iCs/>
          <w:kern w:val="0"/>
          <w:sz w:val="21"/>
          <w:szCs w:val="21"/>
          <w:lang w:val="zh-CN"/>
        </w:rPr>
      </w:pPr>
    </w:p>
    <w:p w:rsidR="00A9288A" w:rsidRDefault="007A4434">
      <w:pPr>
        <w:pStyle w:val="Section"/>
        <w:outlineLvl w:val="2"/>
        <w:rPr>
          <w:rFonts w:eastAsia="Times New Roman" w:cs="Times New Roman"/>
        </w:rPr>
      </w:pPr>
      <w:r>
        <w:rPr>
          <w:rFonts w:cs="Times New Roman"/>
        </w:rPr>
        <w:t>15</w:t>
      </w:r>
      <w:r>
        <w:rPr>
          <w:rFonts w:hint="eastAsia"/>
        </w:rPr>
        <w:t>、投资性房地产</w:t>
      </w:r>
    </w:p>
    <w:p w:rsidR="00A9288A" w:rsidRDefault="007A4434">
      <w:pPr>
        <w:jc w:val="left"/>
        <w:rPr>
          <w:rFonts w:eastAsia="Times New Roman" w:cs="Times New Roman"/>
        </w:rPr>
      </w:pPr>
      <w:r>
        <w:rPr>
          <w:rFonts w:hint="eastAsia"/>
        </w:rPr>
        <w:t>投资性房地产计量模式</w:t>
      </w:r>
    </w:p>
    <w:p w:rsidR="00A9288A" w:rsidRDefault="007A4434">
      <w:pPr>
        <w:jc w:val="left"/>
        <w:rPr>
          <w:rFonts w:eastAsia="Times New Roman" w:cs="Times New Roman"/>
        </w:rPr>
      </w:pPr>
      <w:r>
        <w:rPr>
          <w:rFonts w:hint="eastAsia"/>
        </w:rPr>
        <w:t>不适用</w:t>
      </w:r>
    </w:p>
    <w:p w:rsidR="00A9288A" w:rsidRDefault="007A4434">
      <w:pPr>
        <w:pStyle w:val="Section"/>
        <w:outlineLvl w:val="2"/>
        <w:rPr>
          <w:rFonts w:eastAsia="Times New Roman" w:cs="Times New Roman"/>
        </w:rPr>
      </w:pPr>
      <w:r>
        <w:rPr>
          <w:rFonts w:cs="Times New Roman"/>
        </w:rPr>
        <w:t>16</w:t>
      </w:r>
      <w:r>
        <w:rPr>
          <w:rFonts w:hint="eastAsia"/>
        </w:rPr>
        <w:t>、固定资产</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）确认条件</w:t>
      </w:r>
    </w:p>
    <w:p w:rsidR="00A9288A" w:rsidRDefault="007A4434">
      <w:pPr>
        <w:jc w:val="left"/>
        <w:rPr>
          <w:rFonts w:eastAsia="Times New Roman" w:cs="Times New Roman"/>
        </w:rPr>
      </w:pPr>
      <w:r>
        <w:rPr>
          <w:rFonts w:hint="eastAsia"/>
        </w:rPr>
        <w:t>本公司固定资产是指同时具有以下特征，即为生产商品、提供劳务、出租或经营管理而持有的，使用年限超过一年的有形资产。</w:t>
      </w: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）折旧方法</w:t>
      </w:r>
    </w:p>
    <w:tbl>
      <w:tblPr>
        <w:tblW w:w="0" w:type="auto"/>
        <w:tblInd w:w="-5" w:type="dxa"/>
        <w:tblLayout w:type="fixed"/>
        <w:tblCellMar>
          <w:left w:w="28" w:type="dxa"/>
          <w:right w:w="28" w:type="dxa"/>
        </w:tblCellMar>
        <w:tblLook w:val="0000" w:firstRow="0" w:lastRow="0" w:firstColumn="0" w:lastColumn="0" w:noHBand="0" w:noVBand="0"/>
      </w:tblPr>
      <w:tblGrid>
        <w:gridCol w:w="1914"/>
        <w:gridCol w:w="1914"/>
        <w:gridCol w:w="1914"/>
        <w:gridCol w:w="1914"/>
        <w:gridCol w:w="1914"/>
      </w:tblGrid>
      <w:tr w:rsidR="00A9288A">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类别</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折旧方法</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折旧年限</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残值率</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年折旧率</w:t>
            </w:r>
          </w:p>
        </w:tc>
      </w:tr>
      <w:tr w:rsidR="00A9288A">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房屋建筑物</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年限平均法</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40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5.00%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2.38%</w:t>
            </w:r>
          </w:p>
        </w:tc>
      </w:tr>
      <w:tr w:rsidR="00A9288A">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机器设备</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年限平均法</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5.00%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19.00%</w:t>
            </w:r>
          </w:p>
        </w:tc>
      </w:tr>
      <w:tr w:rsidR="00A9288A">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运输设备</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年限平均法</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5.00%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19.00%</w:t>
            </w:r>
          </w:p>
        </w:tc>
      </w:tr>
      <w:tr w:rsidR="00A9288A">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办公设备及其他</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年限平均法</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5.00%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19.00%</w:t>
            </w:r>
          </w:p>
        </w:tc>
      </w:tr>
    </w:tbl>
    <w:p w:rsidR="00A9288A" w:rsidRDefault="007A4434">
      <w:pPr>
        <w:pStyle w:val="Section"/>
        <w:outlineLvl w:val="3"/>
        <w:rPr>
          <w:rFonts w:eastAsia="Times New Roman" w:cs="Times New Roman"/>
        </w:rPr>
      </w:pPr>
      <w:r>
        <w:rPr>
          <w:rFonts w:hint="eastAsia"/>
        </w:rPr>
        <w:t>（</w:t>
      </w:r>
      <w:r>
        <w:rPr>
          <w:rFonts w:cs="Times New Roman"/>
        </w:rPr>
        <w:t>3</w:t>
      </w:r>
      <w:r>
        <w:rPr>
          <w:rFonts w:hint="eastAsia"/>
        </w:rPr>
        <w:t>）融资租入固定资产的认定依据、计价和折旧方法</w:t>
      </w:r>
    </w:p>
    <w:p w:rsidR="00A9288A" w:rsidRDefault="007A4434">
      <w:pPr>
        <w:pStyle w:val="Section"/>
        <w:outlineLvl w:val="2"/>
        <w:rPr>
          <w:rFonts w:eastAsia="Times New Roman" w:cs="Times New Roman"/>
        </w:rPr>
      </w:pPr>
      <w:r>
        <w:rPr>
          <w:rFonts w:cs="Times New Roman"/>
        </w:rPr>
        <w:t>17</w:t>
      </w:r>
      <w:r>
        <w:rPr>
          <w:rFonts w:hint="eastAsia"/>
        </w:rPr>
        <w:t>、在建工程</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在建工程按实际发生的成本计量。自营建筑工程按直接材料、直接工资、直接施工费等计量；出包建筑工程按应支付的工程价款等计量；设备安装工程按所安装设备的价值、安装费用、工程试运转等所发生的支出等确定工程成本。在建工程成本还包括应当资本化的借款费用和汇兑损益。</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lastRenderedPageBreak/>
        <w:t>在建工程在达到预定可使用状态之日起，根据工程预算、造价或工程实际成本等，按估计的价值结转固定资产，次月起开始计提折旧，待办理了竣工决算手续后再对固定资产原值差异进行调整。</w:t>
      </w:r>
    </w:p>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2"/>
        <w:rPr>
          <w:rFonts w:eastAsia="Times New Roman" w:cs="Times New Roman"/>
        </w:rPr>
      </w:pPr>
      <w:r>
        <w:rPr>
          <w:rFonts w:cs="Times New Roman"/>
        </w:rPr>
        <w:t>18</w:t>
      </w:r>
      <w:r>
        <w:rPr>
          <w:rFonts w:hint="eastAsia"/>
        </w:rPr>
        <w:t>、借款费用</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借款费用包括借款利息、折价或溢价的摊销、辅助费用以及因外币借款而发生的汇兑差额等。可直接归属于符合资本化条件的资产的购建或者生产的借款费用，在资产支出已经发生、借款费用已经发生、为使资产达到预定可使用或可销售状态所必要的购建或生产活动已经开始时，开始资本化；当购建或生产符合资本化条件的资产达到预定可使用或可销售状态时，停止资本化。其余借款费用在发生当期确认为费用。</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专门借款当期实际发生的利息费用，扣除尚未动用的借款资金存入银行取得的利息收入或进行暂时性投资取得的投资收益后的金额予以资本化；一般借款根据累计资产支出超过专门借款部分的资产支出加权平均数乘以所占用一般借款的资本化率，确定资本化金额。资本化率根据一般借款加权平均利率计算确定。</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符合资本化条件的资产，是指需要经过相当长时间（通常指</w:t>
      </w:r>
      <w:r>
        <w:rPr>
          <w:rFonts w:eastAsia="Times New Roman" w:cs="Times New Roman"/>
          <w:kern w:val="0"/>
          <w:sz w:val="21"/>
          <w:szCs w:val="21"/>
          <w:lang w:val="zh-CN"/>
        </w:rPr>
        <w:t>1</w:t>
      </w:r>
      <w:r>
        <w:rPr>
          <w:rFonts w:ascii="宋体" w:hAnsi="宋体" w:hint="eastAsia"/>
          <w:kern w:val="0"/>
          <w:sz w:val="21"/>
          <w:szCs w:val="21"/>
          <w:lang w:val="zh-CN"/>
        </w:rPr>
        <w:t>年以上）的购建或者生产活动才能达到预定可使用或者可销售状态的固定资产、投资性房地产和存货等资产。</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如果符合资本化条件的资产在购建或者生产过程中发生非正常中断、且中断时间连续超过</w:t>
      </w:r>
      <w:r>
        <w:rPr>
          <w:rFonts w:eastAsia="Times New Roman" w:cs="Times New Roman"/>
          <w:kern w:val="0"/>
          <w:sz w:val="21"/>
          <w:szCs w:val="21"/>
          <w:lang w:val="zh-CN"/>
        </w:rPr>
        <w:t>3</w:t>
      </w:r>
      <w:r>
        <w:rPr>
          <w:rFonts w:ascii="宋体" w:hAnsi="宋体" w:hint="eastAsia"/>
          <w:kern w:val="0"/>
          <w:sz w:val="21"/>
          <w:szCs w:val="21"/>
          <w:lang w:val="zh-CN"/>
        </w:rPr>
        <w:t>个月，暂停借款费用的资本化，直至资产的购建或生产活动重新开始。</w:t>
      </w:r>
    </w:p>
    <w:p w:rsidR="00A9288A" w:rsidRDefault="00A9288A">
      <w:pPr>
        <w:autoSpaceDE w:val="0"/>
        <w:autoSpaceDN w:val="0"/>
        <w:adjustRightInd w:val="0"/>
        <w:spacing w:before="0" w:after="120"/>
        <w:ind w:firstLine="420"/>
        <w:rPr>
          <w:rFonts w:eastAsia="Times New Roman" w:cs="Times New Roman"/>
          <w:kern w:val="0"/>
          <w:sz w:val="21"/>
          <w:szCs w:val="21"/>
          <w:lang w:val="zh-CN"/>
        </w:rPr>
      </w:pPr>
    </w:p>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2"/>
        <w:rPr>
          <w:rFonts w:eastAsia="Times New Roman" w:cs="Times New Roman"/>
        </w:rPr>
      </w:pPr>
      <w:r>
        <w:rPr>
          <w:rFonts w:cs="Times New Roman"/>
        </w:rPr>
        <w:t>19</w:t>
      </w:r>
      <w:r>
        <w:rPr>
          <w:rFonts w:hint="eastAsia"/>
        </w:rPr>
        <w:t>、生物资产</w:t>
      </w:r>
    </w:p>
    <w:p w:rsidR="00A9288A" w:rsidRDefault="007A4434">
      <w:pPr>
        <w:pStyle w:val="Section"/>
        <w:outlineLvl w:val="2"/>
        <w:rPr>
          <w:rFonts w:eastAsia="Times New Roman" w:cs="Times New Roman"/>
        </w:rPr>
      </w:pPr>
      <w:r>
        <w:rPr>
          <w:rFonts w:cs="Times New Roman"/>
        </w:rPr>
        <w:t>20</w:t>
      </w:r>
      <w:r>
        <w:rPr>
          <w:rFonts w:hint="eastAsia"/>
        </w:rPr>
        <w:t>、油气资产</w:t>
      </w:r>
    </w:p>
    <w:p w:rsidR="00A9288A" w:rsidRDefault="007A4434">
      <w:pPr>
        <w:pStyle w:val="Section"/>
        <w:outlineLvl w:val="2"/>
        <w:rPr>
          <w:rFonts w:eastAsia="Times New Roman" w:cs="Times New Roman"/>
        </w:rPr>
      </w:pPr>
      <w:r>
        <w:rPr>
          <w:rFonts w:cs="Times New Roman"/>
        </w:rPr>
        <w:t>21</w:t>
      </w:r>
      <w:r>
        <w:rPr>
          <w:rFonts w:hint="eastAsia"/>
        </w:rPr>
        <w:t>、无形资产</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）计价方法、使用寿命、减值测试</w:t>
      </w:r>
    </w:p>
    <w:p w:rsidR="00A9288A" w:rsidRDefault="007A4434">
      <w:pPr>
        <w:jc w:val="left"/>
        <w:rPr>
          <w:rFonts w:eastAsia="Times New Roman" w:cs="Times New Roman"/>
        </w:rPr>
      </w:pPr>
      <w:r>
        <w:rPr>
          <w:rFonts w:hint="eastAsia"/>
        </w:rPr>
        <w:t>公司是否需要遵守特殊行业的披露要求</w:t>
      </w:r>
    </w:p>
    <w:p w:rsidR="00A9288A" w:rsidRDefault="007A4434">
      <w:pPr>
        <w:jc w:val="left"/>
        <w:rPr>
          <w:rFonts w:eastAsia="Times New Roman" w:cs="Times New Roman"/>
        </w:rPr>
      </w:pPr>
      <w:r>
        <w:rPr>
          <w:rFonts w:hint="eastAsia"/>
        </w:rPr>
        <w:t>否</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公司无形资产包括土地使用权、商标、非专利技术和软件，按取得时的实际成本计量，其中，购入的无形资产，按实际支付的价款和相关的其他支出作为实际成本；投资者投入的无形资产，按投资合同或协议约定的价值确定实际成本，但合同或协议约定价值不公允的，按公允价值确定实际成本。对非同一控制下合并中取得被购买方拥有的但在其财务报表中未确认的商标等无形资产，在对被购买方进行初始确认时，按公允价值确认为无形资产。</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土地使用权从出让起始日起，按其出让年限平均摊销；软件和非专利技术等无形资产按预计使用年限、合同规定的受益年限和法律规定的有效年限三者中最短者分期平均摊销。摊销金额按其受益对象计入相关资产成本和当期损益。</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对使用寿命有限的无形资产的预计使用寿命及摊销方法于每年年度终了进行复核，如发生改变，则作为会计估计变更处理。</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对商标，由于无法预见其为本公司带来经济利益期限，因此其使用寿命不确定。使用寿命不确定的无</w:t>
      </w:r>
      <w:r>
        <w:rPr>
          <w:rFonts w:ascii="宋体" w:hAnsi="宋体" w:hint="eastAsia"/>
          <w:kern w:val="0"/>
          <w:sz w:val="21"/>
          <w:szCs w:val="21"/>
          <w:lang w:val="zh-CN"/>
        </w:rPr>
        <w:lastRenderedPageBreak/>
        <w:t>形资产不予摊销。</w:t>
      </w:r>
    </w:p>
    <w:p w:rsidR="00A9288A" w:rsidRDefault="00A9288A">
      <w:pPr>
        <w:autoSpaceDE w:val="0"/>
        <w:autoSpaceDN w:val="0"/>
        <w:adjustRightInd w:val="0"/>
        <w:spacing w:before="0" w:after="120"/>
        <w:ind w:firstLine="420"/>
        <w:rPr>
          <w:rFonts w:eastAsia="Times New Roman" w:cs="Times New Roman"/>
          <w:kern w:val="0"/>
          <w:sz w:val="21"/>
          <w:szCs w:val="21"/>
          <w:lang w:val="zh-CN"/>
        </w:rPr>
      </w:pP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）内部研究开发支出会计政策</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公司的研究开发支出根据其性质以及研发活动最终形成无形资产是否具有较大不确定性，分为研究阶段支出和开发阶段支出。研究阶段的支出，于发生时计入当期损益；开发阶段的支出，同时满足下列条件的，确认为无形资产：</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1</w:t>
      </w:r>
      <w:r>
        <w:rPr>
          <w:rFonts w:ascii="宋体" w:hAnsi="宋体" w:hint="eastAsia"/>
          <w:kern w:val="0"/>
          <w:sz w:val="21"/>
          <w:szCs w:val="21"/>
          <w:lang w:val="zh-CN"/>
        </w:rPr>
        <w:t>）完成该无形资产以使其能够使用或出售在技术上具有可行性；</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2</w:t>
      </w:r>
      <w:r>
        <w:rPr>
          <w:rFonts w:ascii="宋体" w:hAnsi="宋体" w:hint="eastAsia"/>
          <w:kern w:val="0"/>
          <w:sz w:val="21"/>
          <w:szCs w:val="21"/>
          <w:lang w:val="zh-CN"/>
        </w:rPr>
        <w:t>）具有完成该无形资产并使用或出售的意图；</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3</w:t>
      </w:r>
      <w:r>
        <w:rPr>
          <w:rFonts w:ascii="宋体" w:hAnsi="宋体" w:hint="eastAsia"/>
          <w:kern w:val="0"/>
          <w:sz w:val="21"/>
          <w:szCs w:val="21"/>
          <w:lang w:val="zh-CN"/>
        </w:rPr>
        <w:t>）运用该无形资产生产的产品存在市场或无形资产自身存在市场；</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4</w:t>
      </w:r>
      <w:r>
        <w:rPr>
          <w:rFonts w:ascii="宋体" w:hAnsi="宋体" w:hint="eastAsia"/>
          <w:kern w:val="0"/>
          <w:sz w:val="21"/>
          <w:szCs w:val="21"/>
          <w:lang w:val="zh-CN"/>
        </w:rPr>
        <w:t>）有足够的技术、财务资源和其他资源支持，以完成该无形资产的开发，并有能力使用或出售该无形资产；</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5</w:t>
      </w:r>
      <w:r>
        <w:rPr>
          <w:rFonts w:ascii="宋体" w:hAnsi="宋体" w:hint="eastAsia"/>
          <w:kern w:val="0"/>
          <w:sz w:val="21"/>
          <w:szCs w:val="21"/>
          <w:lang w:val="zh-CN"/>
        </w:rPr>
        <w:t>）归属于该无形资产开发阶段的支出能够可靠地计量。</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不满足上述条件的开发阶段的支出，于发生时计入当期损益。前期已计入损益的开发支出在以后期间不再确认为资产。已资本化的开发阶段的支出在资产负债表上列示为开发支出，自该项目达到预定可使用状态之日起转为无形资产列报。</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本公司对下列支出确认为研究阶段支出，于实际发生时计入当期损益：</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1</w:t>
      </w:r>
      <w:r>
        <w:rPr>
          <w:rFonts w:ascii="宋体" w:hAnsi="宋体" w:hint="eastAsia"/>
          <w:kern w:val="0"/>
          <w:sz w:val="21"/>
          <w:szCs w:val="21"/>
          <w:lang w:val="zh-CN"/>
        </w:rPr>
        <w:t>）对研发项目进行必要的市场调查与研究，对研发项目技术的先进性以及是否可以完成项目研究而进行的项目可行性研究的支出；</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2</w:t>
      </w:r>
      <w:r>
        <w:rPr>
          <w:rFonts w:ascii="宋体" w:hAnsi="宋体" w:hint="eastAsia"/>
          <w:kern w:val="0"/>
          <w:sz w:val="21"/>
          <w:szCs w:val="21"/>
          <w:lang w:val="zh-CN"/>
        </w:rPr>
        <w:t>）经本公司管理层认可，已经立项并通过了研发资金预算，建立的研发小组发生的支出。</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本公司对符合以下条件之一的研发支出划分为开发阶段的支出：</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1</w:t>
      </w:r>
      <w:r>
        <w:rPr>
          <w:rFonts w:ascii="宋体" w:hAnsi="宋体" w:hint="eastAsia"/>
          <w:kern w:val="0"/>
          <w:sz w:val="21"/>
          <w:szCs w:val="21"/>
          <w:lang w:val="zh-CN"/>
        </w:rPr>
        <w:t>）管理层内部通过《研发项目开发阶段确认书》并已经开始了实质性的开发投入，研发支出已达到开发预算的</w:t>
      </w:r>
      <w:r>
        <w:rPr>
          <w:rFonts w:eastAsia="Times New Roman" w:cs="Times New Roman"/>
          <w:kern w:val="0"/>
          <w:sz w:val="21"/>
          <w:szCs w:val="21"/>
          <w:lang w:val="zh-CN"/>
        </w:rPr>
        <w:t>1/3</w:t>
      </w:r>
      <w:r>
        <w:rPr>
          <w:rFonts w:ascii="宋体" w:hAnsi="宋体" w:hint="eastAsia"/>
          <w:kern w:val="0"/>
          <w:sz w:val="21"/>
          <w:szCs w:val="21"/>
          <w:lang w:val="zh-CN"/>
        </w:rPr>
        <w:t>以上（包括</w:t>
      </w:r>
      <w:r>
        <w:rPr>
          <w:rFonts w:eastAsia="Times New Roman" w:cs="Times New Roman"/>
          <w:kern w:val="0"/>
          <w:sz w:val="21"/>
          <w:szCs w:val="21"/>
          <w:lang w:val="zh-CN"/>
        </w:rPr>
        <w:t>1/3</w:t>
      </w:r>
      <w:r>
        <w:rPr>
          <w:rFonts w:ascii="宋体" w:hAnsi="宋体" w:hint="eastAsia"/>
          <w:kern w:val="0"/>
          <w:sz w:val="21"/>
          <w:szCs w:val="21"/>
          <w:lang w:val="zh-CN"/>
        </w:rPr>
        <w:t>）；</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2</w:t>
      </w:r>
      <w:r>
        <w:rPr>
          <w:rFonts w:ascii="宋体" w:hAnsi="宋体" w:hint="eastAsia"/>
          <w:kern w:val="0"/>
          <w:sz w:val="21"/>
          <w:szCs w:val="21"/>
          <w:lang w:val="zh-CN"/>
        </w:rPr>
        <w:t>）研发项目至少取得一项相关证书：</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eastAsia="Times New Roman" w:cs="Times New Roman"/>
          <w:kern w:val="0"/>
          <w:sz w:val="21"/>
          <w:szCs w:val="21"/>
          <w:lang w:val="zh-CN"/>
        </w:rPr>
        <w:t>1</w:t>
      </w:r>
      <w:r>
        <w:rPr>
          <w:rFonts w:ascii="宋体" w:hAnsi="宋体" w:hint="eastAsia"/>
          <w:kern w:val="0"/>
          <w:sz w:val="21"/>
          <w:szCs w:val="21"/>
          <w:lang w:val="zh-CN"/>
        </w:rPr>
        <w:t>）软件著作权证书；</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eastAsia="Times New Roman" w:cs="Times New Roman"/>
          <w:kern w:val="0"/>
          <w:sz w:val="21"/>
          <w:szCs w:val="21"/>
          <w:lang w:val="zh-CN"/>
        </w:rPr>
        <w:t>2</w:t>
      </w:r>
      <w:r>
        <w:rPr>
          <w:rFonts w:ascii="宋体" w:hAnsi="宋体" w:hint="eastAsia"/>
          <w:kern w:val="0"/>
          <w:sz w:val="21"/>
          <w:szCs w:val="21"/>
          <w:lang w:val="zh-CN"/>
        </w:rPr>
        <w:t>）专利证书；</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eastAsia="Times New Roman" w:cs="Times New Roman"/>
          <w:kern w:val="0"/>
          <w:sz w:val="21"/>
          <w:szCs w:val="21"/>
          <w:lang w:val="zh-CN"/>
        </w:rPr>
        <w:t>3</w:t>
      </w:r>
      <w:r>
        <w:rPr>
          <w:rFonts w:ascii="宋体" w:hAnsi="宋体" w:hint="eastAsia"/>
          <w:kern w:val="0"/>
          <w:sz w:val="21"/>
          <w:szCs w:val="21"/>
          <w:lang w:val="zh-CN"/>
        </w:rPr>
        <w:t>）取得其他有关知识产权证明文件。</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3</w:t>
      </w:r>
      <w:r>
        <w:rPr>
          <w:rFonts w:ascii="宋体" w:hAnsi="宋体" w:hint="eastAsia"/>
          <w:kern w:val="0"/>
          <w:sz w:val="21"/>
          <w:szCs w:val="21"/>
          <w:lang w:val="zh-CN"/>
        </w:rPr>
        <w:t>）研发出具有实际应用的产品样机。</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开发支出确认为无形资产的条件：</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1</w:t>
      </w:r>
      <w:r>
        <w:rPr>
          <w:rFonts w:ascii="宋体" w:hAnsi="宋体" w:hint="eastAsia"/>
          <w:kern w:val="0"/>
          <w:sz w:val="21"/>
          <w:szCs w:val="21"/>
          <w:lang w:val="zh-CN"/>
        </w:rPr>
        <w:t>）研发项目已经验收，并形成最终产品，符合批量性生产条件；</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2</w:t>
      </w:r>
      <w:r>
        <w:rPr>
          <w:rFonts w:ascii="宋体" w:hAnsi="宋体" w:hint="eastAsia"/>
          <w:kern w:val="0"/>
          <w:sz w:val="21"/>
          <w:szCs w:val="21"/>
          <w:lang w:val="zh-CN"/>
        </w:rPr>
        <w:t>）研发项目可转化为具有商业用途的产品，并可以最终对外销售；</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3</w:t>
      </w:r>
      <w:r>
        <w:rPr>
          <w:rFonts w:ascii="宋体" w:hAnsi="宋体" w:hint="eastAsia"/>
          <w:kern w:val="0"/>
          <w:sz w:val="21"/>
          <w:szCs w:val="21"/>
          <w:lang w:val="zh-CN"/>
        </w:rPr>
        <w:t>）研发的新产品已经符合行业标准、并取得相关资格证书，符合对外销售的条件，或者研发的产品在技术上已经满足客户的技术标准；</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4</w:t>
      </w:r>
      <w:r>
        <w:rPr>
          <w:rFonts w:ascii="宋体" w:hAnsi="宋体" w:hint="eastAsia"/>
          <w:kern w:val="0"/>
          <w:sz w:val="21"/>
          <w:szCs w:val="21"/>
          <w:lang w:val="zh-CN"/>
        </w:rPr>
        <w:t>）与客户签订了正式或者具有采购意向的合同。</w:t>
      </w:r>
    </w:p>
    <w:p w:rsidR="00A9288A" w:rsidRDefault="00A9288A">
      <w:pPr>
        <w:autoSpaceDE w:val="0"/>
        <w:autoSpaceDN w:val="0"/>
        <w:adjustRightInd w:val="0"/>
        <w:spacing w:before="0" w:after="120"/>
        <w:ind w:firstLine="420"/>
        <w:rPr>
          <w:rFonts w:eastAsia="Times New Roman" w:cs="Times New Roman"/>
          <w:kern w:val="0"/>
          <w:sz w:val="21"/>
          <w:szCs w:val="21"/>
          <w:lang w:val="zh-CN"/>
        </w:rPr>
      </w:pPr>
    </w:p>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2"/>
        <w:rPr>
          <w:rFonts w:eastAsia="Times New Roman" w:cs="Times New Roman"/>
        </w:rPr>
      </w:pPr>
      <w:r>
        <w:rPr>
          <w:rFonts w:cs="Times New Roman"/>
        </w:rPr>
        <w:t>22</w:t>
      </w:r>
      <w:r>
        <w:rPr>
          <w:rFonts w:hint="eastAsia"/>
        </w:rPr>
        <w:t>、长期资产减值</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公司于每一资产负债表日对长期股权投资、固定资产、在建工程、使用寿命有限的无形资产等项目进行检查，当存在下列迹象时，表明资产可能发生了减值，本公司将进行减值测试。对商誉和使用寿命不确定的无形资产，无论是否存在减值迹象，每年末均进行减值测试。难以对单项资产的可收回金额进行测试的，以该资产所属的资产组或资产组组合为基础测试。</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减值测试后，若该资产的账面价值超过其可收回金额，其差额确认为减值损失，上述资产的减值损失一经确认，在以后会计期间不予转回。资产的可收回金额是指资产的公允价值减去处置费用后的净额与资产预计未来现金流量的现值两者之间的较高者。</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出现减值的迹象如下：</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1</w:t>
      </w:r>
      <w:r>
        <w:rPr>
          <w:rFonts w:ascii="宋体" w:hAnsi="宋体" w:hint="eastAsia"/>
          <w:kern w:val="0"/>
          <w:sz w:val="21"/>
          <w:szCs w:val="21"/>
          <w:lang w:val="zh-CN"/>
        </w:rPr>
        <w:t>）资产的市价当期大幅度下跌，其跌幅明显高于因时间的推移或者正常使用而预计的下跌；</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2</w:t>
      </w:r>
      <w:r>
        <w:rPr>
          <w:rFonts w:ascii="宋体" w:hAnsi="宋体" w:hint="eastAsia"/>
          <w:kern w:val="0"/>
          <w:sz w:val="21"/>
          <w:szCs w:val="21"/>
          <w:lang w:val="zh-CN"/>
        </w:rPr>
        <w:t>）企业经营所处的经济、技术或者法律等环境以及资产所处的市场在当期或者将在近期发生重大变化，从而对企业产生不利影响；</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3</w:t>
      </w:r>
      <w:r>
        <w:rPr>
          <w:rFonts w:ascii="宋体" w:hAnsi="宋体" w:hint="eastAsia"/>
          <w:kern w:val="0"/>
          <w:sz w:val="21"/>
          <w:szCs w:val="21"/>
          <w:lang w:val="zh-CN"/>
        </w:rPr>
        <w:t>）市场利率或者其他市场投资报酬率在当期已经提高，从而影响企业计算资产预计未来现金流量现值的折现率，导致资产可收回金额大幅度降低；</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4</w:t>
      </w:r>
      <w:r>
        <w:rPr>
          <w:rFonts w:ascii="宋体" w:hAnsi="宋体" w:hint="eastAsia"/>
          <w:kern w:val="0"/>
          <w:sz w:val="21"/>
          <w:szCs w:val="21"/>
          <w:lang w:val="zh-CN"/>
        </w:rPr>
        <w:t>）有证据表明资产已经陈旧过时或者其实体已经损坏；</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5</w:t>
      </w:r>
      <w:r>
        <w:rPr>
          <w:rFonts w:ascii="宋体" w:hAnsi="宋体" w:hint="eastAsia"/>
          <w:kern w:val="0"/>
          <w:sz w:val="21"/>
          <w:szCs w:val="21"/>
          <w:lang w:val="zh-CN"/>
        </w:rPr>
        <w:t>）资产已经或者将被闲置、终止使用或者计划提前处置；</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6</w:t>
      </w:r>
      <w:r>
        <w:rPr>
          <w:rFonts w:ascii="宋体" w:hAnsi="宋体" w:hint="eastAsia"/>
          <w:kern w:val="0"/>
          <w:sz w:val="21"/>
          <w:szCs w:val="21"/>
          <w:lang w:val="zh-CN"/>
        </w:rPr>
        <w:t>）企业内部报告的证据表明资产的经济绩效已经低于或者将低于预期，如资产所创造的净现金流量或者实现的营业利润（或者亏损）远远低于（或者高于）预计金额等；</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7</w:t>
      </w:r>
      <w:r>
        <w:rPr>
          <w:rFonts w:ascii="宋体" w:hAnsi="宋体" w:hint="eastAsia"/>
          <w:kern w:val="0"/>
          <w:sz w:val="21"/>
          <w:szCs w:val="21"/>
          <w:lang w:val="zh-CN"/>
        </w:rPr>
        <w:t>）其他表明资产可能已经发生减值的迹象。</w:t>
      </w:r>
    </w:p>
    <w:p w:rsidR="00A9288A" w:rsidRDefault="00A9288A">
      <w:pPr>
        <w:autoSpaceDE w:val="0"/>
        <w:autoSpaceDN w:val="0"/>
        <w:adjustRightInd w:val="0"/>
        <w:spacing w:before="0" w:after="120"/>
        <w:ind w:firstLine="420"/>
        <w:rPr>
          <w:rFonts w:eastAsia="Times New Roman" w:cs="Times New Roman"/>
          <w:kern w:val="0"/>
          <w:sz w:val="21"/>
          <w:szCs w:val="21"/>
          <w:lang w:val="zh-CN"/>
        </w:rPr>
      </w:pPr>
    </w:p>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2"/>
        <w:rPr>
          <w:rFonts w:eastAsia="Times New Roman" w:cs="Times New Roman"/>
        </w:rPr>
      </w:pPr>
      <w:r>
        <w:rPr>
          <w:rFonts w:cs="Times New Roman"/>
        </w:rPr>
        <w:t>23</w:t>
      </w:r>
      <w:r>
        <w:rPr>
          <w:rFonts w:hint="eastAsia"/>
        </w:rPr>
        <w:t>、长期待摊费用</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本公司的长期待摊费用是指已经支出，但应由当期及以后各期承担的摊销期限在</w:t>
      </w:r>
      <w:r>
        <w:rPr>
          <w:rFonts w:eastAsia="Times New Roman" w:cs="Times New Roman"/>
          <w:kern w:val="0"/>
          <w:sz w:val="21"/>
          <w:szCs w:val="21"/>
          <w:lang w:val="zh-CN"/>
        </w:rPr>
        <w:t>1</w:t>
      </w:r>
      <w:r>
        <w:rPr>
          <w:rFonts w:ascii="宋体" w:hAnsi="宋体" w:hint="eastAsia"/>
          <w:kern w:val="0"/>
          <w:sz w:val="21"/>
          <w:szCs w:val="21"/>
          <w:lang w:val="zh-CN"/>
        </w:rPr>
        <w:t>年以上</w:t>
      </w:r>
      <w:r>
        <w:rPr>
          <w:rFonts w:eastAsia="Times New Roman" w:cs="Times New Roman"/>
          <w:kern w:val="0"/>
          <w:sz w:val="21"/>
          <w:szCs w:val="21"/>
          <w:lang w:val="zh-CN"/>
        </w:rPr>
        <w:t>(</w:t>
      </w:r>
      <w:r>
        <w:rPr>
          <w:rFonts w:ascii="宋体" w:hAnsi="宋体" w:hint="eastAsia"/>
          <w:kern w:val="0"/>
          <w:sz w:val="21"/>
          <w:szCs w:val="21"/>
          <w:lang w:val="zh-CN"/>
        </w:rPr>
        <w:t>不含</w:t>
      </w:r>
      <w:r>
        <w:rPr>
          <w:rFonts w:eastAsia="Times New Roman" w:cs="Times New Roman"/>
          <w:kern w:val="0"/>
          <w:sz w:val="21"/>
          <w:szCs w:val="21"/>
          <w:lang w:val="zh-CN"/>
        </w:rPr>
        <w:t>1</w:t>
      </w:r>
      <w:r>
        <w:rPr>
          <w:rFonts w:ascii="宋体" w:hAnsi="宋体" w:hint="eastAsia"/>
          <w:kern w:val="0"/>
          <w:sz w:val="21"/>
          <w:szCs w:val="21"/>
          <w:lang w:val="zh-CN"/>
        </w:rPr>
        <w:t>年</w:t>
      </w:r>
      <w:r>
        <w:rPr>
          <w:rFonts w:eastAsia="Times New Roman" w:cs="Times New Roman"/>
          <w:kern w:val="0"/>
          <w:sz w:val="21"/>
          <w:szCs w:val="21"/>
          <w:lang w:val="zh-CN"/>
        </w:rPr>
        <w:t>)</w:t>
      </w:r>
      <w:r>
        <w:rPr>
          <w:rFonts w:ascii="宋体" w:hAnsi="宋体" w:hint="eastAsia"/>
          <w:kern w:val="0"/>
          <w:sz w:val="21"/>
          <w:szCs w:val="21"/>
          <w:lang w:val="zh-CN"/>
        </w:rPr>
        <w:t>的费用，该等费用在受益期内平均摊销。如果长期待摊费用项目不能使以后会计期间受益，则将尚未摊销的该项目的摊余价值全部转入当期损益。</w:t>
      </w:r>
    </w:p>
    <w:p w:rsidR="00A9288A" w:rsidRDefault="00A9288A">
      <w:pPr>
        <w:autoSpaceDE w:val="0"/>
        <w:autoSpaceDN w:val="0"/>
        <w:adjustRightInd w:val="0"/>
        <w:spacing w:before="0" w:after="120"/>
        <w:ind w:firstLine="420"/>
        <w:rPr>
          <w:rFonts w:eastAsia="Times New Roman" w:cs="Times New Roman"/>
          <w:kern w:val="0"/>
          <w:sz w:val="21"/>
          <w:szCs w:val="21"/>
          <w:lang w:val="zh-CN"/>
        </w:rPr>
      </w:pPr>
    </w:p>
    <w:p w:rsidR="00A9288A" w:rsidRDefault="007A4434">
      <w:pPr>
        <w:pStyle w:val="Section"/>
        <w:outlineLvl w:val="2"/>
        <w:rPr>
          <w:rFonts w:eastAsia="Times New Roman" w:cs="Times New Roman"/>
        </w:rPr>
      </w:pPr>
      <w:r>
        <w:rPr>
          <w:rFonts w:cs="Times New Roman"/>
        </w:rPr>
        <w:t>24</w:t>
      </w:r>
      <w:r>
        <w:rPr>
          <w:rFonts w:hint="eastAsia"/>
        </w:rPr>
        <w:t>、职工薪酬</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）短期薪酬的会计处理方法</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短期薪酬主要包括职工工资</w:t>
      </w:r>
      <w:r>
        <w:rPr>
          <w:rFonts w:ascii="宋体" w:hAnsi="宋体" w:hint="eastAsia"/>
          <w:i/>
          <w:iCs/>
          <w:kern w:val="0"/>
          <w:sz w:val="21"/>
          <w:szCs w:val="21"/>
          <w:lang w:val="zh-CN"/>
        </w:rPr>
        <w:t>、</w:t>
      </w:r>
      <w:r>
        <w:rPr>
          <w:rFonts w:ascii="宋体" w:hAnsi="宋体" w:hint="eastAsia"/>
          <w:kern w:val="0"/>
          <w:sz w:val="21"/>
          <w:szCs w:val="21"/>
          <w:lang w:val="zh-CN"/>
        </w:rPr>
        <w:t>奖金、津贴、补贴、职工福利、医疗保险费、工伤保险费、生育保险费、住房公积金、工会和教育经费等，在职工提供服务的会计期间，将实际发生的短期薪酬确认为负债，并按照受益对象计入当期损益或相关资产成本。</w:t>
      </w:r>
    </w:p>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3"/>
        <w:rPr>
          <w:rFonts w:eastAsia="Times New Roman" w:cs="Times New Roman"/>
        </w:rPr>
      </w:pPr>
      <w:r>
        <w:rPr>
          <w:rFonts w:hint="eastAsia"/>
        </w:rPr>
        <w:lastRenderedPageBreak/>
        <w:t>（</w:t>
      </w:r>
      <w:r>
        <w:rPr>
          <w:rFonts w:cs="Times New Roman"/>
        </w:rPr>
        <w:t>2</w:t>
      </w:r>
      <w:r>
        <w:rPr>
          <w:rFonts w:hint="eastAsia"/>
        </w:rPr>
        <w:t>）离职后福利的会计处理方法</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离职后福利主要包括基本养老保险费、失业保险费等，按照公司承担的风险和义务，分类为设定提存计划。对于设定提存计划，根据在资产负债表日为换取职工在会计期间提供的服务而向单独主体缴存的提存金确认为负债，并按照受益对象计入当期损益或相关资产成本。</w:t>
      </w:r>
    </w:p>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3"/>
        <w:rPr>
          <w:rFonts w:eastAsia="Times New Roman" w:cs="Times New Roman"/>
        </w:rPr>
      </w:pPr>
      <w:r>
        <w:rPr>
          <w:rFonts w:hint="eastAsia"/>
        </w:rPr>
        <w:t>（</w:t>
      </w:r>
      <w:r>
        <w:rPr>
          <w:rFonts w:cs="Times New Roman"/>
        </w:rPr>
        <w:t>3</w:t>
      </w:r>
      <w:r>
        <w:rPr>
          <w:rFonts w:hint="eastAsia"/>
        </w:rPr>
        <w:t>）辞退福利的会计处理方法</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公司在职工劳动合同到期之前解除与职工的劳动关系、或者为鼓励职工自愿接受裁减而提出给予职工的补偿。本公司向职工提供辞退福利的，在下列两者孰早日确认辞退福利产生的负债，并计入当期损益：①本公司不能单方面撤回因解除劳动关系计划或裁减建议所提供的辞退福利时；②本公司确认与涉及支付辞退福利的重组相关的成本或费用时。辞退福利预期在年度报告期结束后十二个月不能完全支付的，按照其他长期职工薪酬处理。</w:t>
      </w:r>
    </w:p>
    <w:p w:rsidR="00A9288A" w:rsidRDefault="00A9288A">
      <w:pPr>
        <w:autoSpaceDE w:val="0"/>
        <w:autoSpaceDN w:val="0"/>
        <w:adjustRightInd w:val="0"/>
        <w:spacing w:before="0" w:after="120"/>
        <w:ind w:firstLine="420"/>
        <w:rPr>
          <w:rFonts w:eastAsia="Times New Roman" w:cs="Times New Roman"/>
          <w:kern w:val="0"/>
          <w:sz w:val="21"/>
          <w:szCs w:val="21"/>
          <w:lang w:val="zh-CN"/>
        </w:rPr>
      </w:pPr>
    </w:p>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3"/>
        <w:rPr>
          <w:rFonts w:eastAsia="Times New Roman" w:cs="Times New Roman"/>
        </w:rPr>
      </w:pPr>
      <w:r>
        <w:rPr>
          <w:rFonts w:hint="eastAsia"/>
        </w:rPr>
        <w:t>（</w:t>
      </w:r>
      <w:r>
        <w:rPr>
          <w:rFonts w:cs="Times New Roman"/>
        </w:rPr>
        <w:t>4</w:t>
      </w:r>
      <w:r>
        <w:rPr>
          <w:rFonts w:hint="eastAsia"/>
        </w:rPr>
        <w:t>）其他长期职工福利的会计处理方法</w:t>
      </w:r>
    </w:p>
    <w:p w:rsidR="00A9288A" w:rsidRDefault="007A4434">
      <w:pPr>
        <w:pStyle w:val="Section"/>
        <w:outlineLvl w:val="2"/>
        <w:rPr>
          <w:rFonts w:eastAsia="Times New Roman" w:cs="Times New Roman"/>
        </w:rPr>
      </w:pPr>
      <w:r>
        <w:rPr>
          <w:rFonts w:cs="Times New Roman"/>
        </w:rPr>
        <w:t>25</w:t>
      </w:r>
      <w:r>
        <w:rPr>
          <w:rFonts w:hint="eastAsia"/>
        </w:rPr>
        <w:t>、预计负债</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当与产品质量保证等或有事项相关的业务同时符合以下条件时，本公司将其确认为负债：该义务是本公司承担的现时义务；该义务的履行很可能导致经济利益流出企业；该义务的金额能够可靠地计量。</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预计负债按照履行相关现时义务所需支出的最佳估计数进行初始计量，并综合考虑与或有事项有关的风险、不确定性和货币时间价值等因素。货币时间价值影响重大的，通过对相关未来现金流出进行折现后确定最佳估计数。每个资产负债表日对预计负债的账面价值进行复核，如有改变则对账面价值进行调整以反映当前最佳估计数。</w:t>
      </w:r>
    </w:p>
    <w:p w:rsidR="00A9288A" w:rsidRDefault="00A9288A">
      <w:pPr>
        <w:autoSpaceDE w:val="0"/>
        <w:autoSpaceDN w:val="0"/>
        <w:adjustRightInd w:val="0"/>
        <w:spacing w:before="0" w:after="120"/>
        <w:ind w:firstLine="420"/>
        <w:rPr>
          <w:rFonts w:eastAsia="Times New Roman" w:cs="Times New Roman"/>
          <w:kern w:val="0"/>
          <w:sz w:val="21"/>
          <w:szCs w:val="21"/>
          <w:lang w:val="zh-CN"/>
        </w:rPr>
      </w:pPr>
    </w:p>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2"/>
        <w:rPr>
          <w:rFonts w:eastAsia="Times New Roman" w:cs="Times New Roman"/>
        </w:rPr>
      </w:pPr>
      <w:r>
        <w:rPr>
          <w:rFonts w:cs="Times New Roman"/>
        </w:rPr>
        <w:t>26</w:t>
      </w:r>
      <w:r>
        <w:rPr>
          <w:rFonts w:hint="eastAsia"/>
        </w:rPr>
        <w:t>、股份支付</w:t>
      </w:r>
    </w:p>
    <w:p w:rsidR="00A9288A" w:rsidRDefault="007A4434">
      <w:pPr>
        <w:pStyle w:val="Section"/>
        <w:outlineLvl w:val="2"/>
        <w:rPr>
          <w:rFonts w:eastAsia="Times New Roman" w:cs="Times New Roman"/>
        </w:rPr>
      </w:pPr>
      <w:r>
        <w:rPr>
          <w:rFonts w:cs="Times New Roman"/>
        </w:rPr>
        <w:t>27</w:t>
      </w:r>
      <w:r>
        <w:rPr>
          <w:rFonts w:hint="eastAsia"/>
        </w:rPr>
        <w:t>、优先股、永续债等其他金融工具</w:t>
      </w:r>
    </w:p>
    <w:p w:rsidR="00A9288A" w:rsidRDefault="007A4434">
      <w:pPr>
        <w:pStyle w:val="Section"/>
        <w:outlineLvl w:val="2"/>
        <w:rPr>
          <w:rFonts w:eastAsia="Times New Roman" w:cs="Times New Roman"/>
        </w:rPr>
      </w:pPr>
      <w:r>
        <w:rPr>
          <w:rFonts w:cs="Times New Roman"/>
        </w:rPr>
        <w:t>28</w:t>
      </w:r>
      <w:r>
        <w:rPr>
          <w:rFonts w:hint="eastAsia"/>
        </w:rPr>
        <w:t>、收入</w:t>
      </w:r>
    </w:p>
    <w:p w:rsidR="00A9288A" w:rsidRDefault="007A4434">
      <w:pPr>
        <w:jc w:val="left"/>
        <w:rPr>
          <w:rFonts w:eastAsia="Times New Roman" w:cs="Times New Roman"/>
        </w:rPr>
      </w:pPr>
      <w:r>
        <w:rPr>
          <w:rFonts w:hint="eastAsia"/>
        </w:rPr>
        <w:t>公司是否需要遵守特殊行业的披露要求</w:t>
      </w:r>
    </w:p>
    <w:p w:rsidR="00A9288A" w:rsidRDefault="007A4434">
      <w:pPr>
        <w:jc w:val="left"/>
        <w:rPr>
          <w:rFonts w:eastAsia="Times New Roman" w:cs="Times New Roman"/>
        </w:rPr>
      </w:pPr>
      <w:r>
        <w:rPr>
          <w:rFonts w:hint="eastAsia"/>
        </w:rPr>
        <w:t>否</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本公司的营业收入主要包括销售商品收入、提供劳务收入，收入确认原则如下：</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eastAsia="Times New Roman" w:cs="Times New Roman"/>
          <w:kern w:val="0"/>
          <w:sz w:val="21"/>
          <w:szCs w:val="21"/>
          <w:lang w:val="en-AU"/>
        </w:rPr>
        <w:t>1.</w:t>
      </w:r>
      <w:r>
        <w:rPr>
          <w:rFonts w:ascii="宋体" w:hAnsi="宋体" w:hint="eastAsia"/>
          <w:kern w:val="0"/>
          <w:sz w:val="21"/>
          <w:szCs w:val="21"/>
          <w:lang w:val="zh-CN"/>
        </w:rPr>
        <w:t>本公司在已将商品所有权上的主要风险和报酬转移给购货方、本公司既没有保留通常与所有权相联系的继续管理权、也没有对已售出的商品实施有效控制、收入的金额能够可靠地计量、相关的经济利益很可能流入企业、相关的已发生或将发生的成本能够可靠地计量时，确认销售商品收入的实现。</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eastAsia="Times New Roman" w:cs="Times New Roman"/>
          <w:kern w:val="0"/>
          <w:sz w:val="21"/>
          <w:szCs w:val="21"/>
          <w:lang w:val="en-AU"/>
        </w:rPr>
        <w:lastRenderedPageBreak/>
        <w:t>2.</w:t>
      </w:r>
      <w:r>
        <w:rPr>
          <w:rFonts w:ascii="宋体" w:hAnsi="宋体" w:hint="eastAsia"/>
          <w:kern w:val="0"/>
          <w:sz w:val="21"/>
          <w:szCs w:val="21"/>
          <w:lang w:val="zh-CN"/>
        </w:rPr>
        <w:t>本公司在劳务总收入和总成本能够可靠地计量、与劳务相关的经济利益很可能流入本公司、劳务的完成进度能够可靠地确定时，确认劳务收入的实现。在资产负债表日，提供劳务交易的结果能够可靠估计的，按完工百分比法确认相关的劳务收入，完工百分比按已经发生的成本占估计总成本的比例确定；提供劳务交易结果不能够可靠估计、已经发生的劳务成本预计能够得到补偿的，按已经发生的能够得到补偿的劳务成本金额确认提供劳务收入，并结转已经发生的劳务成本；提供劳务交易结果不能够可靠估计、已经发生的劳务成本预计全部不能得到补偿的，将已经发生的劳务成本计入当期损益，不确认提供劳务收入。</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eastAsia="Times New Roman" w:cs="Times New Roman"/>
          <w:kern w:val="0"/>
          <w:sz w:val="21"/>
          <w:szCs w:val="21"/>
          <w:lang w:val="en-AU"/>
        </w:rPr>
        <w:t>3.</w:t>
      </w:r>
      <w:r>
        <w:rPr>
          <w:rFonts w:ascii="宋体" w:hAnsi="宋体" w:hint="eastAsia"/>
          <w:kern w:val="0"/>
          <w:sz w:val="21"/>
          <w:szCs w:val="21"/>
          <w:lang w:val="zh-CN"/>
        </w:rPr>
        <w:t>与交易相关的经济利益很可能流入本公司、收入的金额能够可靠地计量时，确认让渡资产使用权收入的实现。</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本公司商品销售收入的具体确认方法如下：</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直销产品分为内销和出口销售，收入确认时点分为下列情况：</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1</w:t>
      </w:r>
      <w:r>
        <w:rPr>
          <w:rFonts w:ascii="宋体" w:hAnsi="宋体" w:hint="eastAsia"/>
          <w:kern w:val="0"/>
          <w:sz w:val="21"/>
          <w:szCs w:val="21"/>
          <w:lang w:val="zh-CN"/>
        </w:rPr>
        <w:t>）对境外销售凡不需要安装的产品以产品报关离岸时作为收入确认时点；</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2</w:t>
      </w:r>
      <w:r>
        <w:rPr>
          <w:rFonts w:ascii="宋体" w:hAnsi="宋体" w:hint="eastAsia"/>
          <w:kern w:val="0"/>
          <w:sz w:val="21"/>
          <w:szCs w:val="21"/>
          <w:lang w:val="zh-CN"/>
        </w:rPr>
        <w:t>）对境外销售凡需要安装的产品以产品报关离岸时与安装验收后孰晚作为收入确认时点；</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3</w:t>
      </w:r>
      <w:r>
        <w:rPr>
          <w:rFonts w:ascii="宋体" w:hAnsi="宋体" w:hint="eastAsia"/>
          <w:kern w:val="0"/>
          <w:sz w:val="21"/>
          <w:szCs w:val="21"/>
          <w:lang w:val="zh-CN"/>
        </w:rPr>
        <w:t>）对境内销售凡不需要安装的产品以双方验收后作为收入确认时点；</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zh-CN"/>
        </w:rPr>
        <w:t>4</w:t>
      </w:r>
      <w:r>
        <w:rPr>
          <w:rFonts w:ascii="宋体" w:hAnsi="宋体" w:hint="eastAsia"/>
          <w:kern w:val="0"/>
          <w:sz w:val="21"/>
          <w:szCs w:val="21"/>
          <w:lang w:val="zh-CN"/>
        </w:rPr>
        <w:t>）对境内销售凡需要安装的产品以安装验收后作为收入确认时点。</w:t>
      </w:r>
    </w:p>
    <w:p w:rsidR="00A9288A" w:rsidRDefault="00A9288A">
      <w:pPr>
        <w:autoSpaceDE w:val="0"/>
        <w:autoSpaceDN w:val="0"/>
        <w:adjustRightInd w:val="0"/>
        <w:spacing w:before="0" w:after="120"/>
        <w:ind w:firstLine="420"/>
        <w:rPr>
          <w:rFonts w:eastAsia="Times New Roman" w:cs="Times New Roman"/>
          <w:kern w:val="0"/>
          <w:sz w:val="21"/>
          <w:szCs w:val="21"/>
          <w:lang w:val="zh-CN"/>
        </w:rPr>
      </w:pPr>
    </w:p>
    <w:p w:rsidR="00A9288A" w:rsidRDefault="007A4434">
      <w:pPr>
        <w:pStyle w:val="Section"/>
        <w:outlineLvl w:val="2"/>
        <w:rPr>
          <w:rFonts w:eastAsia="Times New Roman" w:cs="Times New Roman"/>
        </w:rPr>
      </w:pPr>
      <w:r>
        <w:rPr>
          <w:rFonts w:cs="Times New Roman"/>
        </w:rPr>
        <w:t>29</w:t>
      </w:r>
      <w:r>
        <w:rPr>
          <w:rFonts w:hint="eastAsia"/>
        </w:rPr>
        <w:t>、政府补助</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）与资产相关的政府补助判断依据及会计处理方法</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与资产相关的政府补助，是指本集团取得的、用于购建或以其他方式形成长期资产的政府补助；与收益相关的政府补助，是指除与资产相关的政府补助之外的政府补助。如果政府文件中未明确规定补助对象，本集团按照上述原则进行判断。</w:t>
      </w:r>
    </w:p>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）与收益相关的政府补助判断依据及会计处理方法</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与资产相关的政府补助确认为递延收益，并在相关资产使用寿命内平均分配计入当期损益。与收益相关的政府补助，用于补偿以后期间的相关费用或损失的，确认为递延收益，并在确认相关费用的期间计入当期损益；用于补偿已发生的相关费用或损失的，直接计入当期损益。</w:t>
      </w:r>
    </w:p>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2"/>
        <w:rPr>
          <w:rFonts w:eastAsia="Times New Roman" w:cs="Times New Roman"/>
        </w:rPr>
      </w:pPr>
      <w:r>
        <w:rPr>
          <w:rFonts w:cs="Times New Roman"/>
        </w:rPr>
        <w:t>30</w:t>
      </w:r>
      <w:r>
        <w:rPr>
          <w:rFonts w:hint="eastAsia"/>
        </w:rPr>
        <w:t>、递延所得税资产</w:t>
      </w:r>
      <w:r>
        <w:rPr>
          <w:rFonts w:cs="Times New Roman"/>
        </w:rPr>
        <w:t>/</w:t>
      </w:r>
      <w:r>
        <w:rPr>
          <w:rFonts w:hint="eastAsia"/>
        </w:rPr>
        <w:t>递延所得税负债</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本公司递延所得税资产和递延所得税负债根据资产和负债的计税基础与其账面价值的差额</w:t>
      </w:r>
      <w:r>
        <w:rPr>
          <w:rFonts w:eastAsia="Times New Roman" w:cs="Times New Roman"/>
          <w:kern w:val="0"/>
          <w:sz w:val="21"/>
          <w:szCs w:val="21"/>
          <w:lang w:val="zh-CN"/>
        </w:rPr>
        <w:t>(</w:t>
      </w:r>
      <w:r>
        <w:rPr>
          <w:rFonts w:ascii="宋体" w:hAnsi="宋体" w:hint="eastAsia"/>
          <w:kern w:val="0"/>
          <w:sz w:val="21"/>
          <w:szCs w:val="21"/>
          <w:lang w:val="zh-CN"/>
        </w:rPr>
        <w:t>暂时性差异</w:t>
      </w:r>
      <w:r>
        <w:rPr>
          <w:rFonts w:eastAsia="Times New Roman" w:cs="Times New Roman"/>
          <w:kern w:val="0"/>
          <w:sz w:val="21"/>
          <w:szCs w:val="21"/>
          <w:lang w:val="zh-CN"/>
        </w:rPr>
        <w:t>)</w:t>
      </w:r>
      <w:r>
        <w:rPr>
          <w:rFonts w:ascii="宋体" w:hAnsi="宋体" w:hint="eastAsia"/>
          <w:kern w:val="0"/>
          <w:sz w:val="21"/>
          <w:szCs w:val="21"/>
          <w:lang w:val="zh-CN"/>
        </w:rPr>
        <w:t>计算确认。对于按照税法规定能够于以后年度抵减应纳税所得额的可抵扣亏损和税款抵减，视同暂时性差异确认相应的递延所得税资产。于资产负债表日，递延所得税资产和递延所得税负债，按照预期收回该资产或清偿该负债期间的适用税率计量。</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本公司以很可能取得用来抵扣可抵扣暂时性差异的应纳税所得额为限，确认由可抵扣暂时性差异产生的递延所得税资产。对已确认的递延所得税资产，当预计到未来期间很可能无法获得足够的应纳税所得额</w:t>
      </w:r>
      <w:r>
        <w:rPr>
          <w:rFonts w:ascii="宋体" w:hAnsi="宋体" w:hint="eastAsia"/>
          <w:kern w:val="0"/>
          <w:sz w:val="21"/>
          <w:szCs w:val="21"/>
          <w:lang w:val="zh-CN"/>
        </w:rPr>
        <w:lastRenderedPageBreak/>
        <w:t>用以抵扣递延所得税资产时，应当减记递延所得税资产的账面价值。在很可能获得足够的应纳税所得额时，减记的金额予以转回。</w:t>
      </w:r>
    </w:p>
    <w:p w:rsidR="00A9288A" w:rsidRDefault="00A9288A">
      <w:pPr>
        <w:autoSpaceDE w:val="0"/>
        <w:autoSpaceDN w:val="0"/>
        <w:adjustRightInd w:val="0"/>
        <w:spacing w:before="0" w:after="120"/>
        <w:ind w:firstLine="420"/>
        <w:rPr>
          <w:rFonts w:eastAsia="Times New Roman" w:cs="Times New Roman"/>
          <w:kern w:val="0"/>
          <w:sz w:val="21"/>
          <w:szCs w:val="21"/>
          <w:lang w:val="zh-CN"/>
        </w:rPr>
      </w:pPr>
    </w:p>
    <w:p w:rsidR="00A9288A" w:rsidRDefault="007A4434">
      <w:pPr>
        <w:pStyle w:val="Section"/>
        <w:outlineLvl w:val="2"/>
        <w:rPr>
          <w:rFonts w:eastAsia="Times New Roman" w:cs="Times New Roman"/>
        </w:rPr>
      </w:pPr>
      <w:r>
        <w:rPr>
          <w:rFonts w:cs="Times New Roman"/>
        </w:rPr>
        <w:t>31</w:t>
      </w:r>
      <w:r>
        <w:rPr>
          <w:rFonts w:hint="eastAsia"/>
        </w:rPr>
        <w:t>、租赁</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）经营租赁的会计处理方法</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本公司在租赁开始日将租赁分为融资租赁和经营租赁。</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经营租赁是指除融资租赁以外的其他租赁。本公司作为承租方的租金在租赁期内的各个期间按直线法计入相关资产成本或当期损益，本公司作为出租方的租金在租赁期内的各个期间按直线法确认为收入。</w:t>
      </w:r>
    </w:p>
    <w:p w:rsidR="00A9288A" w:rsidRDefault="00A9288A">
      <w:pPr>
        <w:autoSpaceDE w:val="0"/>
        <w:autoSpaceDN w:val="0"/>
        <w:adjustRightInd w:val="0"/>
        <w:spacing w:before="0" w:after="120"/>
        <w:ind w:firstLine="420"/>
        <w:rPr>
          <w:rFonts w:eastAsia="Times New Roman" w:cs="Times New Roman"/>
          <w:i/>
          <w:iCs/>
          <w:kern w:val="0"/>
          <w:sz w:val="21"/>
          <w:szCs w:val="21"/>
          <w:lang w:val="zh-CN"/>
        </w:rPr>
      </w:pP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）融资租赁的会计处理方法</w:t>
      </w:r>
    </w:p>
    <w:p w:rsidR="00A9288A" w:rsidRDefault="007A4434">
      <w:pPr>
        <w:autoSpaceDE w:val="0"/>
        <w:autoSpaceDN w:val="0"/>
        <w:adjustRightInd w:val="0"/>
        <w:spacing w:before="0" w:after="120"/>
        <w:ind w:firstLine="420"/>
        <w:rPr>
          <w:rFonts w:eastAsia="Times New Roman" w:cs="Times New Roman"/>
          <w:i/>
          <w:iCs/>
          <w:kern w:val="0"/>
          <w:sz w:val="21"/>
          <w:szCs w:val="21"/>
          <w:lang w:val="zh-CN"/>
        </w:rPr>
      </w:pPr>
      <w:r>
        <w:rPr>
          <w:rFonts w:ascii="宋体" w:hAnsi="宋体" w:hint="eastAsia"/>
          <w:i/>
          <w:iCs/>
          <w:kern w:val="0"/>
          <w:sz w:val="21"/>
          <w:szCs w:val="21"/>
          <w:lang w:val="zh-CN"/>
        </w:rPr>
        <w:t>融资租赁是指实质上转移了与资产所有权有关的全部风险和报酬的租赁。</w:t>
      </w:r>
    </w:p>
    <w:p w:rsidR="00A9288A" w:rsidRDefault="00A9288A">
      <w:pPr>
        <w:autoSpaceDE w:val="0"/>
        <w:autoSpaceDN w:val="0"/>
        <w:adjustRightInd w:val="0"/>
        <w:spacing w:before="0" w:after="120"/>
        <w:ind w:firstLine="420"/>
        <w:rPr>
          <w:rFonts w:eastAsia="Times New Roman" w:cs="Times New Roman"/>
          <w:i/>
          <w:iCs/>
          <w:kern w:val="0"/>
          <w:sz w:val="21"/>
          <w:szCs w:val="21"/>
          <w:lang w:val="zh-CN"/>
        </w:rPr>
      </w:pPr>
    </w:p>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2"/>
        <w:rPr>
          <w:rFonts w:eastAsia="Times New Roman" w:cs="Times New Roman"/>
        </w:rPr>
      </w:pPr>
      <w:r>
        <w:rPr>
          <w:rFonts w:cs="Times New Roman"/>
        </w:rPr>
        <w:t>32</w:t>
      </w:r>
      <w:r>
        <w:rPr>
          <w:rFonts w:hint="eastAsia"/>
        </w:rPr>
        <w:t>、其他重要的会计政策和会计估计</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编制财务报表时，本集团管理层需要运用估计和假设，这些估计和假设会对会计政策的应用及资产、负债、收入及费用的金额产生影响。实际情况可能与这些估计不同。本集团管理层对估计涉及的关键假设和不确定性因素的判断进行持续评估。会计估计变更的影响在变更当期和未来期间予以确认。</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下列会计估计及关键假设存在导致未来期间的资产及负债账面值发生重大调整的重要风险。</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en-GB"/>
        </w:rPr>
        <w:t>1</w:t>
      </w:r>
      <w:r>
        <w:rPr>
          <w:rFonts w:ascii="宋体" w:hAnsi="宋体" w:hint="eastAsia"/>
          <w:kern w:val="0"/>
          <w:sz w:val="21"/>
          <w:szCs w:val="21"/>
          <w:lang w:val="zh-CN"/>
        </w:rPr>
        <w:t>）应收款项减值</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集团在资产负债表日按摊余成本计量的应收款項，以评估是否出现减值情況，并在出现减值情況时评估减值损失的具体金额。减值的客观证据包括显示个别或组合应收款项预计未来现金流量出现大幅下降的可判断数据，显示个别或组合应收款项中债务人的财务状况出现重大负面的可判断数据等事項。如果有证据表明该应收款项价值已恢复，且客观上与确认该损失后发生的事项有关，则将原确认的减值损失予以转回。</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en-GB"/>
        </w:rPr>
        <w:t>2</w:t>
      </w:r>
      <w:r>
        <w:rPr>
          <w:rFonts w:ascii="宋体" w:hAnsi="宋体" w:hint="eastAsia"/>
          <w:kern w:val="0"/>
          <w:sz w:val="21"/>
          <w:szCs w:val="21"/>
          <w:lang w:val="zh-CN"/>
        </w:rPr>
        <w:t>）存货减值准备</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集团定期估计存货的可变现净值，并对存货成本高于可变现净值的差额确认存货跌价损失。本集团在估计存货的可变现净值时，以同类货物的预计售价减去完工时将要发生的成本、销售费用以及相关税费后的金额确定。当实际售价或成本费用与以前估计不同时，管理层将会对可变现净值进行相应的调整。因此根据现有经验进行估计的结果可能会与之后实际结果有所不同，可能导致对资产负债表中的存货账面价值的调整。因此存货跌价准备的金额可能会随上述原因而发生变化。对存货跌价准备的调整将影响估计变更当期的损益。</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en-GB"/>
        </w:rPr>
        <w:t>3</w:t>
      </w:r>
      <w:r>
        <w:rPr>
          <w:rFonts w:ascii="宋体" w:hAnsi="宋体" w:hint="eastAsia"/>
          <w:kern w:val="0"/>
          <w:sz w:val="21"/>
          <w:szCs w:val="21"/>
          <w:lang w:val="zh-CN"/>
        </w:rPr>
        <w:t>）商誉减值准备的会计估计</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本集团每年对商誉进行减值测试。包含商誉的资产组和资产组组合的可收回金额为其预计未来现金流</w:t>
      </w:r>
      <w:r>
        <w:rPr>
          <w:rFonts w:ascii="宋体" w:hAnsi="宋体" w:hint="eastAsia"/>
          <w:kern w:val="0"/>
          <w:sz w:val="21"/>
          <w:szCs w:val="21"/>
          <w:lang w:val="zh-CN"/>
        </w:rPr>
        <w:lastRenderedPageBreak/>
        <w:t>量的现值，其计算需要采用会计估计。</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如果管理层对资产组和资产组组合未来现金流量计算中采用的毛利率进行修订，修订后的毛利率低于目前采用的毛利率，本集团需对商誉增加计提减值准备。</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如果管理层对应用于现金流量折现的税前折现率进行重新修订，修订后的税前折率高于目前采用的折现率，本集团需对商誉增加计提减值准备。</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如果实际毛利率或税前折现率高于或低于管理层的估计，本集团不能转回原已计提的商誉减值损失。</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en-GB"/>
        </w:rPr>
        <w:t>4</w:t>
      </w:r>
      <w:r>
        <w:rPr>
          <w:rFonts w:ascii="宋体" w:hAnsi="宋体" w:hint="eastAsia"/>
          <w:kern w:val="0"/>
          <w:sz w:val="21"/>
          <w:szCs w:val="21"/>
          <w:lang w:val="zh-CN"/>
        </w:rPr>
        <w:t>）固定资产及无形资产减值准备的会计估计</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集团在资产负债表日对使用寿命不确定的无形资产、存在减值迹象的固定资产及使用寿命确定的无形资产进行减值测试。固定资产或无形资产的可收回金额为其预计未来现金流量的现值和资产的公允价值减去处置费用后的净额中较高者，其计算需要采用会计估计。</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如果管理层对资产组和资产组组合未来现金流量计算中采用的毛利率进行修订，修订后的毛利率低于目前采用的毛利率，本集团需对固定资产或无形资产增加计提减值准备。</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如果管理层对应用于现金流量折现的税前折现率进行重新修订，修订后的税前折现率高于目前采用的折现率，本集团需对固定资产或无形资产增加计提减值准备。</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如果实际毛利率或税前折现率高于或低于管理层估计，本集团不能转回原已计提的固定资产减值准备或无形资产减值准备。</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en-GB"/>
        </w:rPr>
        <w:t>5</w:t>
      </w:r>
      <w:r>
        <w:rPr>
          <w:rFonts w:ascii="宋体" w:hAnsi="宋体" w:hint="eastAsia"/>
          <w:kern w:val="0"/>
          <w:sz w:val="21"/>
          <w:szCs w:val="21"/>
          <w:lang w:val="zh-CN"/>
        </w:rPr>
        <w:t>）递延所得税资产确认的会计估计</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递延所得税资产的估计需要对未来各个年度的应纳税所得额及适用的税率进行估计，递延所得税资产的实现取决于集团未来是否很可能获得足够的应纳税所得额。未来税率的变化和暂时性差异的转回时间也可能影响所得税费用（收益）以及递延所得税的余额。上述估计的变化可能导致对递延所得税的重要调整。</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en-GB"/>
        </w:rPr>
        <w:t>6</w:t>
      </w:r>
      <w:r>
        <w:rPr>
          <w:rFonts w:ascii="宋体" w:hAnsi="宋体" w:hint="eastAsia"/>
          <w:kern w:val="0"/>
          <w:sz w:val="21"/>
          <w:szCs w:val="21"/>
          <w:lang w:val="zh-CN"/>
        </w:rPr>
        <w:t>）固定资产、无形资产的可使用年限</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集团至少于每年年度终了，对固定资产和无形资产的预计使用寿命进行复核。预计使用寿命是管理层基于同类资产历史经验、参考同行业普遍所应用的估计并结合预期技术更新而决定的。当以往的估计发生重大变化时，则相应调整未来期间的折旧费用和摊销费用。</w:t>
      </w:r>
    </w:p>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2"/>
        <w:rPr>
          <w:rFonts w:eastAsia="Times New Roman" w:cs="Times New Roman"/>
        </w:rPr>
      </w:pPr>
      <w:r>
        <w:rPr>
          <w:rFonts w:cs="Times New Roman"/>
        </w:rPr>
        <w:t>33</w:t>
      </w:r>
      <w:r>
        <w:rPr>
          <w:rFonts w:hint="eastAsia"/>
        </w:rPr>
        <w:t>、重要会计政策和会计估计变更</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）重要会计政策变更</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）重要会计估计变更</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Section"/>
        <w:outlineLvl w:val="2"/>
        <w:rPr>
          <w:rFonts w:eastAsia="Times New Roman" w:cs="Times New Roman"/>
        </w:rPr>
      </w:pPr>
      <w:r>
        <w:rPr>
          <w:rFonts w:cs="Times New Roman"/>
        </w:rPr>
        <w:lastRenderedPageBreak/>
        <w:t>34</w:t>
      </w:r>
      <w:r>
        <w:rPr>
          <w:rFonts w:hint="eastAsia"/>
        </w:rPr>
        <w:t>、其他</w:t>
      </w:r>
    </w:p>
    <w:p w:rsidR="00A9288A" w:rsidRDefault="007A4434">
      <w:pPr>
        <w:pStyle w:val="Chapter"/>
        <w:outlineLvl w:val="1"/>
        <w:rPr>
          <w:rFonts w:eastAsia="Times New Roman" w:cs="Times New Roman"/>
        </w:rPr>
      </w:pPr>
      <w:r>
        <w:rPr>
          <w:rFonts w:hint="eastAsia"/>
        </w:rPr>
        <w:t>六、税项</w:t>
      </w:r>
    </w:p>
    <w:p w:rsidR="00A9288A" w:rsidRDefault="007A4434">
      <w:pPr>
        <w:pStyle w:val="Section"/>
        <w:outlineLvl w:val="2"/>
        <w:rPr>
          <w:rFonts w:eastAsia="Times New Roman" w:cs="Times New Roman"/>
        </w:rPr>
      </w:pPr>
      <w:r>
        <w:rPr>
          <w:rFonts w:cs="Times New Roman"/>
        </w:rPr>
        <w:t>1</w:t>
      </w:r>
      <w:r>
        <w:rPr>
          <w:rFonts w:hint="eastAsia"/>
        </w:rPr>
        <w:t>、主要税种及税率</w:t>
      </w:r>
    </w:p>
    <w:tbl>
      <w:tblPr>
        <w:tblW w:w="0" w:type="auto"/>
        <w:tblInd w:w="-5" w:type="dxa"/>
        <w:tblLayout w:type="fixed"/>
        <w:tblCellMar>
          <w:left w:w="28" w:type="dxa"/>
          <w:right w:w="28" w:type="dxa"/>
        </w:tblCellMar>
        <w:tblLook w:val="0000" w:firstRow="0" w:lastRow="0" w:firstColumn="0" w:lastColumn="0" w:noHBand="0" w:noVBand="0"/>
      </w:tblPr>
      <w:tblGrid>
        <w:gridCol w:w="3189"/>
        <w:gridCol w:w="3190"/>
        <w:gridCol w:w="3190"/>
      </w:tblGrid>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税种</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计税依据</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税率</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增值税</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销售货物或应税劳务所取得的销售额</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3</w:t>
            </w:r>
            <w:r>
              <w:rPr>
                <w:rFonts w:hint="eastAsia"/>
              </w:rPr>
              <w:t>、</w:t>
            </w:r>
            <w:r>
              <w:rPr>
                <w:rFonts w:cs="Times New Roman"/>
              </w:rPr>
              <w:t>6</w:t>
            </w:r>
            <w:r>
              <w:rPr>
                <w:rFonts w:hint="eastAsia"/>
              </w:rPr>
              <w:t>、</w:t>
            </w:r>
            <w:r>
              <w:rPr>
                <w:rFonts w:cs="Times New Roman"/>
              </w:rPr>
              <w:t>10</w:t>
            </w:r>
            <w:r>
              <w:rPr>
                <w:rFonts w:hint="eastAsia"/>
              </w:rPr>
              <w:t>、</w:t>
            </w:r>
            <w:r>
              <w:rPr>
                <w:rFonts w:cs="Times New Roman"/>
              </w:rPr>
              <w:t>11</w:t>
            </w:r>
            <w:r>
              <w:rPr>
                <w:rFonts w:hint="eastAsia"/>
              </w:rPr>
              <w:t>、</w:t>
            </w:r>
            <w:r>
              <w:rPr>
                <w:rFonts w:cs="Times New Roman"/>
              </w:rPr>
              <w:t>12</w:t>
            </w:r>
            <w:r>
              <w:rPr>
                <w:rFonts w:hint="eastAsia"/>
              </w:rPr>
              <w:t>、</w:t>
            </w:r>
            <w:r>
              <w:rPr>
                <w:rFonts w:cs="Times New Roman"/>
              </w:rPr>
              <w:t>16</w:t>
            </w:r>
            <w:r>
              <w:rPr>
                <w:rFonts w:hint="eastAsia"/>
              </w:rPr>
              <w:t>、</w:t>
            </w:r>
            <w:r>
              <w:rPr>
                <w:rFonts w:cs="Times New Roman"/>
              </w:rPr>
              <w:t>17</w:t>
            </w:r>
            <w:r>
              <w:rPr>
                <w:rFonts w:hint="eastAsia"/>
              </w:rPr>
              <w:t>、</w:t>
            </w:r>
            <w:r>
              <w:rPr>
                <w:rFonts w:cs="Times New Roman"/>
              </w:rPr>
              <w:t>19</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城市维护建设税</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实际缴纳的增值税、消费税和营业税税额</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5%</w:t>
            </w:r>
            <w:r>
              <w:rPr>
                <w:rFonts w:hint="eastAsia"/>
              </w:rPr>
              <w:t>、</w:t>
            </w:r>
            <w:r>
              <w:rPr>
                <w:rFonts w:cs="Times New Roman"/>
              </w:rPr>
              <w:t>7%</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企业所得税</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应纳税所得额</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12.5%</w:t>
            </w:r>
            <w:r>
              <w:rPr>
                <w:rFonts w:hint="eastAsia"/>
              </w:rPr>
              <w:t>、</w:t>
            </w:r>
            <w:r>
              <w:rPr>
                <w:rFonts w:cs="Times New Roman"/>
              </w:rPr>
              <w:t>15%</w:t>
            </w:r>
            <w:r>
              <w:rPr>
                <w:rFonts w:hint="eastAsia"/>
              </w:rPr>
              <w:t>、</w:t>
            </w:r>
            <w:r>
              <w:rPr>
                <w:rFonts w:cs="Times New Roman"/>
              </w:rPr>
              <w:t>16.5%</w:t>
            </w:r>
            <w:r>
              <w:rPr>
                <w:rFonts w:hint="eastAsia"/>
              </w:rPr>
              <w:t>、</w:t>
            </w:r>
            <w:r>
              <w:rPr>
                <w:rFonts w:cs="Times New Roman"/>
              </w:rPr>
              <w:t>25%</w:t>
            </w:r>
            <w:r>
              <w:rPr>
                <w:rFonts w:hint="eastAsia"/>
              </w:rPr>
              <w:t>、</w:t>
            </w:r>
            <w:r>
              <w:rPr>
                <w:rFonts w:cs="Times New Roman"/>
              </w:rPr>
              <w:t>30.875%</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教育费附加</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实际缴纳的增值税、消费税和营业税税额</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3%</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地方教育费附加</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实际缴纳的增值税、消费税和营业税税额</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2%</w:t>
            </w:r>
          </w:p>
        </w:tc>
      </w:tr>
    </w:tbl>
    <w:p w:rsidR="00A9288A" w:rsidRDefault="007A4434">
      <w:pPr>
        <w:jc w:val="left"/>
        <w:rPr>
          <w:rFonts w:eastAsia="Times New Roman" w:cs="Times New Roman"/>
        </w:rPr>
      </w:pPr>
      <w:r>
        <w:rPr>
          <w:rFonts w:hint="eastAsia"/>
        </w:rPr>
        <w:t>存在不同企业所得税税率纳税主体的，披露情况说明</w:t>
      </w:r>
    </w:p>
    <w:tbl>
      <w:tblPr>
        <w:tblW w:w="0" w:type="auto"/>
        <w:tblInd w:w="-5" w:type="dxa"/>
        <w:tblLayout w:type="fixed"/>
        <w:tblCellMar>
          <w:left w:w="28" w:type="dxa"/>
          <w:right w:w="28" w:type="dxa"/>
        </w:tblCellMar>
        <w:tblLook w:val="0000" w:firstRow="0" w:lastRow="0" w:firstColumn="0" w:lastColumn="0" w:noHBand="0" w:noVBand="0"/>
      </w:tblPr>
      <w:tblGrid>
        <w:gridCol w:w="4782"/>
        <w:gridCol w:w="4786"/>
      </w:tblGrid>
      <w:tr w:rsidR="00A9288A">
        <w:tc>
          <w:tcPr>
            <w:tcW w:w="478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纳税主体名称</w:t>
            </w:r>
          </w:p>
        </w:tc>
        <w:tc>
          <w:tcPr>
            <w:tcW w:w="478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所得税税率</w:t>
            </w:r>
          </w:p>
        </w:tc>
      </w:tr>
      <w:tr w:rsidR="00A9288A">
        <w:tc>
          <w:tcPr>
            <w:tcW w:w="478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本公司</w:t>
            </w:r>
          </w:p>
        </w:tc>
        <w:tc>
          <w:tcPr>
            <w:tcW w:w="478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15</w:t>
            </w:r>
          </w:p>
        </w:tc>
      </w:tr>
      <w:tr w:rsidR="00A9288A">
        <w:tc>
          <w:tcPr>
            <w:tcW w:w="478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成都海兰天澄科技股份有限公司</w:t>
            </w:r>
          </w:p>
        </w:tc>
        <w:tc>
          <w:tcPr>
            <w:tcW w:w="478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15</w:t>
            </w:r>
          </w:p>
        </w:tc>
      </w:tr>
      <w:tr w:rsidR="00A9288A">
        <w:tc>
          <w:tcPr>
            <w:tcW w:w="478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北京劳雷海洋仪器有限公司</w:t>
            </w:r>
          </w:p>
        </w:tc>
        <w:tc>
          <w:tcPr>
            <w:tcW w:w="478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15</w:t>
            </w:r>
          </w:p>
        </w:tc>
      </w:tr>
      <w:tr w:rsidR="00A9288A">
        <w:tc>
          <w:tcPr>
            <w:tcW w:w="478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广东蓝图信息技术有限公司</w:t>
            </w:r>
          </w:p>
        </w:tc>
        <w:tc>
          <w:tcPr>
            <w:tcW w:w="478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15</w:t>
            </w:r>
          </w:p>
        </w:tc>
      </w:tr>
      <w:tr w:rsidR="00A9288A">
        <w:tc>
          <w:tcPr>
            <w:tcW w:w="478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Rockson Automation GmbH</w:t>
            </w:r>
          </w:p>
        </w:tc>
        <w:tc>
          <w:tcPr>
            <w:tcW w:w="478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30.875</w:t>
            </w:r>
          </w:p>
        </w:tc>
      </w:tr>
      <w:tr w:rsidR="00A9288A">
        <w:tc>
          <w:tcPr>
            <w:tcW w:w="478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三沙海兰信海洋信息科技有限公司</w:t>
            </w:r>
          </w:p>
        </w:tc>
        <w:tc>
          <w:tcPr>
            <w:tcW w:w="478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15</w:t>
            </w:r>
          </w:p>
        </w:tc>
      </w:tr>
      <w:tr w:rsidR="00A9288A">
        <w:tc>
          <w:tcPr>
            <w:tcW w:w="478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本公司其他子公司</w:t>
            </w:r>
          </w:p>
        </w:tc>
        <w:tc>
          <w:tcPr>
            <w:tcW w:w="478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25</w:t>
            </w:r>
          </w:p>
        </w:tc>
      </w:tr>
    </w:tbl>
    <w:p w:rsidR="00A9288A" w:rsidRDefault="007A4434">
      <w:pPr>
        <w:pStyle w:val="Section"/>
        <w:outlineLvl w:val="2"/>
        <w:rPr>
          <w:rFonts w:eastAsia="Times New Roman" w:cs="Times New Roman"/>
        </w:rPr>
      </w:pPr>
      <w:r>
        <w:rPr>
          <w:rFonts w:cs="Times New Roman"/>
        </w:rPr>
        <w:t>2</w:t>
      </w:r>
      <w:r>
        <w:rPr>
          <w:rFonts w:hint="eastAsia"/>
        </w:rPr>
        <w:t>、税收优惠</w:t>
      </w:r>
    </w:p>
    <w:p w:rsidR="00A9288A" w:rsidRDefault="007A4434">
      <w:pPr>
        <w:autoSpaceDE w:val="0"/>
        <w:autoSpaceDN w:val="0"/>
        <w:adjustRightInd w:val="0"/>
        <w:spacing w:before="0" w:after="120"/>
        <w:ind w:firstLine="420"/>
        <w:jc w:val="left"/>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en-GB"/>
        </w:rPr>
        <w:t>1</w:t>
      </w:r>
      <w:r>
        <w:rPr>
          <w:rFonts w:ascii="宋体" w:hAnsi="宋体" w:hint="eastAsia"/>
          <w:kern w:val="0"/>
          <w:sz w:val="21"/>
          <w:szCs w:val="21"/>
          <w:lang w:val="zh-CN"/>
        </w:rPr>
        <w:t>）增值税</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根据财税</w:t>
      </w:r>
      <w:r>
        <w:rPr>
          <w:rFonts w:eastAsia="Times New Roman" w:cs="Times New Roman"/>
          <w:kern w:val="0"/>
          <w:sz w:val="21"/>
          <w:szCs w:val="21"/>
          <w:lang w:val="en-GB"/>
        </w:rPr>
        <w:t>[2011]100</w:t>
      </w:r>
      <w:r>
        <w:rPr>
          <w:rFonts w:ascii="宋体" w:hAnsi="宋体" w:hint="eastAsia"/>
          <w:kern w:val="0"/>
          <w:sz w:val="21"/>
          <w:szCs w:val="21"/>
          <w:lang w:val="zh-CN"/>
        </w:rPr>
        <w:t>号规定，对增值税一般纳税人销售其自行开发生产的软件产品，按</w:t>
      </w:r>
      <w:r>
        <w:rPr>
          <w:rFonts w:eastAsia="Times New Roman" w:cs="Times New Roman"/>
          <w:kern w:val="0"/>
          <w:sz w:val="21"/>
          <w:szCs w:val="21"/>
          <w:lang w:val="en-GB"/>
        </w:rPr>
        <w:t>17%</w:t>
      </w:r>
      <w:r>
        <w:rPr>
          <w:rFonts w:ascii="宋体" w:hAnsi="宋体" w:hint="eastAsia"/>
          <w:kern w:val="0"/>
          <w:sz w:val="21"/>
          <w:szCs w:val="21"/>
          <w:lang w:val="zh-CN"/>
        </w:rPr>
        <w:t>的法定税率征收增值税后，对其增值税实际税负超过</w:t>
      </w:r>
      <w:r>
        <w:rPr>
          <w:rFonts w:eastAsia="Times New Roman" w:cs="Times New Roman"/>
          <w:kern w:val="0"/>
          <w:sz w:val="21"/>
          <w:szCs w:val="21"/>
          <w:lang w:val="en-GB"/>
        </w:rPr>
        <w:t>3%</w:t>
      </w:r>
      <w:r>
        <w:rPr>
          <w:rFonts w:ascii="宋体" w:hAnsi="宋体" w:hint="eastAsia"/>
          <w:kern w:val="0"/>
          <w:sz w:val="21"/>
          <w:szCs w:val="21"/>
          <w:lang w:val="zh-CN"/>
        </w:rPr>
        <w:t>的部分实行即征即退政策。本公司于</w:t>
      </w:r>
      <w:r>
        <w:rPr>
          <w:rFonts w:eastAsia="Times New Roman" w:cs="Times New Roman"/>
          <w:kern w:val="0"/>
          <w:sz w:val="21"/>
          <w:szCs w:val="21"/>
          <w:lang w:val="en-GB"/>
        </w:rPr>
        <w:t>2011</w:t>
      </w:r>
      <w:r>
        <w:rPr>
          <w:rFonts w:ascii="宋体" w:hAnsi="宋体" w:hint="eastAsia"/>
          <w:kern w:val="0"/>
          <w:sz w:val="21"/>
          <w:szCs w:val="21"/>
          <w:lang w:val="zh-CN"/>
        </w:rPr>
        <w:t>年</w:t>
      </w:r>
      <w:r>
        <w:rPr>
          <w:rFonts w:eastAsia="Times New Roman" w:cs="Times New Roman"/>
          <w:kern w:val="0"/>
          <w:sz w:val="21"/>
          <w:szCs w:val="21"/>
          <w:lang w:val="en-GB"/>
        </w:rPr>
        <w:t>12</w:t>
      </w:r>
      <w:r>
        <w:rPr>
          <w:rFonts w:ascii="宋体" w:hAnsi="宋体" w:hint="eastAsia"/>
          <w:kern w:val="0"/>
          <w:sz w:val="21"/>
          <w:szCs w:val="21"/>
          <w:lang w:val="zh-CN"/>
        </w:rPr>
        <w:t>月取得了主管税务机关的批复文件，文件明确了本公司享有软件产品即征即退减免税优惠政策。</w:t>
      </w:r>
    </w:p>
    <w:p w:rsidR="00A9288A" w:rsidRDefault="007A4434">
      <w:pPr>
        <w:autoSpaceDE w:val="0"/>
        <w:autoSpaceDN w:val="0"/>
        <w:adjustRightInd w:val="0"/>
        <w:spacing w:before="0" w:after="120"/>
        <w:ind w:firstLine="420"/>
        <w:jc w:val="left"/>
        <w:rPr>
          <w:rFonts w:eastAsia="Times New Roman" w:cs="Times New Roman"/>
          <w:kern w:val="0"/>
          <w:sz w:val="21"/>
          <w:szCs w:val="21"/>
          <w:lang w:val="zh-CN"/>
        </w:rPr>
      </w:pPr>
      <w:r>
        <w:rPr>
          <w:rFonts w:ascii="宋体" w:hAnsi="宋体" w:hint="eastAsia"/>
          <w:kern w:val="0"/>
          <w:sz w:val="21"/>
          <w:szCs w:val="21"/>
          <w:lang w:val="zh-CN"/>
        </w:rPr>
        <w:t>（</w:t>
      </w:r>
      <w:r>
        <w:rPr>
          <w:rFonts w:eastAsia="Times New Roman" w:cs="Times New Roman"/>
          <w:kern w:val="0"/>
          <w:sz w:val="21"/>
          <w:szCs w:val="21"/>
          <w:lang w:val="en-GB"/>
        </w:rPr>
        <w:t>2</w:t>
      </w:r>
      <w:r>
        <w:rPr>
          <w:rFonts w:ascii="宋体" w:hAnsi="宋体" w:hint="eastAsia"/>
          <w:kern w:val="0"/>
          <w:sz w:val="21"/>
          <w:szCs w:val="21"/>
          <w:lang w:val="zh-CN"/>
        </w:rPr>
        <w:t>）所得税</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eastAsia="Times New Roman" w:cs="Times New Roman"/>
          <w:kern w:val="0"/>
          <w:sz w:val="21"/>
          <w:szCs w:val="21"/>
          <w:lang w:val="en-GB"/>
        </w:rPr>
        <w:t>2017</w:t>
      </w:r>
      <w:r>
        <w:rPr>
          <w:rFonts w:ascii="宋体" w:hAnsi="宋体" w:hint="eastAsia"/>
          <w:kern w:val="0"/>
          <w:sz w:val="21"/>
          <w:szCs w:val="21"/>
          <w:lang w:val="zh-CN"/>
        </w:rPr>
        <w:t>年</w:t>
      </w:r>
      <w:r>
        <w:rPr>
          <w:rFonts w:eastAsia="Times New Roman" w:cs="Times New Roman"/>
          <w:kern w:val="0"/>
          <w:sz w:val="21"/>
          <w:szCs w:val="21"/>
          <w:lang w:val="en-GB"/>
        </w:rPr>
        <w:t>10</w:t>
      </w:r>
      <w:r>
        <w:rPr>
          <w:rFonts w:ascii="宋体" w:hAnsi="宋体" w:hint="eastAsia"/>
          <w:kern w:val="0"/>
          <w:sz w:val="21"/>
          <w:szCs w:val="21"/>
          <w:lang w:val="zh-CN"/>
        </w:rPr>
        <w:t>月</w:t>
      </w:r>
      <w:r>
        <w:rPr>
          <w:rFonts w:eastAsia="Times New Roman" w:cs="Times New Roman"/>
          <w:kern w:val="0"/>
          <w:sz w:val="21"/>
          <w:szCs w:val="21"/>
          <w:lang w:val="en-GB"/>
        </w:rPr>
        <w:t>25</w:t>
      </w:r>
      <w:r>
        <w:rPr>
          <w:rFonts w:ascii="宋体" w:hAnsi="宋体" w:hint="eastAsia"/>
          <w:kern w:val="0"/>
          <w:sz w:val="21"/>
          <w:szCs w:val="21"/>
          <w:lang w:val="zh-CN"/>
        </w:rPr>
        <w:t>日，经北京市科学技术委员会、北京市财政局、北京市国家税务局、北京市地方税务局批准，被复审认定为高新技术企业，证书编号：</w:t>
      </w:r>
      <w:r>
        <w:rPr>
          <w:rFonts w:eastAsia="Times New Roman" w:cs="Times New Roman"/>
          <w:kern w:val="0"/>
          <w:sz w:val="21"/>
          <w:szCs w:val="21"/>
          <w:lang w:val="en-GB"/>
        </w:rPr>
        <w:t>GR201711002320</w:t>
      </w:r>
      <w:r>
        <w:rPr>
          <w:rFonts w:ascii="宋体" w:hAnsi="宋体" w:hint="eastAsia"/>
          <w:kern w:val="0"/>
          <w:sz w:val="21"/>
          <w:szCs w:val="21"/>
          <w:lang w:val="zh-CN"/>
        </w:rPr>
        <w:t>，有效期三年。</w:t>
      </w:r>
      <w:r>
        <w:rPr>
          <w:rFonts w:eastAsia="Times New Roman" w:cs="Times New Roman"/>
          <w:kern w:val="0"/>
          <w:sz w:val="21"/>
          <w:szCs w:val="21"/>
          <w:lang w:val="en-GB"/>
        </w:rPr>
        <w:t>2017</w:t>
      </w:r>
      <w:r>
        <w:rPr>
          <w:rFonts w:ascii="宋体" w:hAnsi="宋体" w:hint="eastAsia"/>
          <w:kern w:val="0"/>
          <w:sz w:val="21"/>
          <w:szCs w:val="21"/>
          <w:lang w:val="zh-CN"/>
        </w:rPr>
        <w:t>年</w:t>
      </w:r>
      <w:r>
        <w:rPr>
          <w:rFonts w:eastAsia="Times New Roman" w:cs="Times New Roman"/>
          <w:kern w:val="0"/>
          <w:sz w:val="21"/>
          <w:szCs w:val="21"/>
          <w:lang w:val="en-GB"/>
        </w:rPr>
        <w:t>-2019</w:t>
      </w:r>
      <w:r>
        <w:rPr>
          <w:rFonts w:ascii="宋体" w:hAnsi="宋体" w:hint="eastAsia"/>
          <w:kern w:val="0"/>
          <w:sz w:val="21"/>
          <w:szCs w:val="21"/>
          <w:lang w:val="zh-CN"/>
        </w:rPr>
        <w:t>年，本公司享有</w:t>
      </w:r>
      <w:r>
        <w:rPr>
          <w:rFonts w:eastAsia="Times New Roman" w:cs="Times New Roman"/>
          <w:kern w:val="0"/>
          <w:sz w:val="21"/>
          <w:szCs w:val="21"/>
          <w:lang w:val="en-GB"/>
        </w:rPr>
        <w:t>15%</w:t>
      </w:r>
      <w:r>
        <w:rPr>
          <w:rFonts w:ascii="宋体" w:hAnsi="宋体" w:hint="eastAsia"/>
          <w:kern w:val="0"/>
          <w:sz w:val="21"/>
          <w:szCs w:val="21"/>
          <w:lang w:val="zh-CN"/>
        </w:rPr>
        <w:t>的企业所得税优惠税率。</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eastAsia="Times New Roman" w:cs="Times New Roman"/>
          <w:kern w:val="0"/>
          <w:sz w:val="21"/>
          <w:szCs w:val="21"/>
          <w:lang w:val="en-GB"/>
        </w:rPr>
        <w:t>2017</w:t>
      </w:r>
      <w:r>
        <w:rPr>
          <w:rFonts w:ascii="宋体" w:hAnsi="宋体" w:hint="eastAsia"/>
          <w:kern w:val="0"/>
          <w:sz w:val="21"/>
          <w:szCs w:val="21"/>
          <w:lang w:val="zh-CN"/>
        </w:rPr>
        <w:t>年</w:t>
      </w:r>
      <w:r>
        <w:rPr>
          <w:rFonts w:eastAsia="Times New Roman" w:cs="Times New Roman"/>
          <w:kern w:val="0"/>
          <w:sz w:val="21"/>
          <w:szCs w:val="21"/>
          <w:lang w:val="en-GB"/>
        </w:rPr>
        <w:t>8</w:t>
      </w:r>
      <w:r>
        <w:rPr>
          <w:rFonts w:ascii="宋体" w:hAnsi="宋体" w:hint="eastAsia"/>
          <w:kern w:val="0"/>
          <w:sz w:val="21"/>
          <w:szCs w:val="21"/>
          <w:lang w:val="zh-CN"/>
        </w:rPr>
        <w:t>月</w:t>
      </w:r>
      <w:r>
        <w:rPr>
          <w:rFonts w:eastAsia="Times New Roman" w:cs="Times New Roman"/>
          <w:kern w:val="0"/>
          <w:sz w:val="21"/>
          <w:szCs w:val="21"/>
          <w:lang w:val="en-GB"/>
        </w:rPr>
        <w:t>29</w:t>
      </w:r>
      <w:r>
        <w:rPr>
          <w:rFonts w:ascii="宋体" w:hAnsi="宋体" w:hint="eastAsia"/>
          <w:kern w:val="0"/>
          <w:sz w:val="21"/>
          <w:szCs w:val="21"/>
          <w:lang w:val="zh-CN"/>
        </w:rPr>
        <w:t>日，经四川省科学技术厅、四川省财政厅、四川省国家税务局、四川省地方税务局批准，被复审认定为高新技术企业，证书编号：</w:t>
      </w:r>
      <w:r>
        <w:rPr>
          <w:rFonts w:eastAsia="Times New Roman" w:cs="Times New Roman"/>
          <w:kern w:val="0"/>
          <w:sz w:val="21"/>
          <w:szCs w:val="21"/>
          <w:lang w:val="en-GB"/>
        </w:rPr>
        <w:t>GR201751000476</w:t>
      </w:r>
      <w:r>
        <w:rPr>
          <w:rFonts w:ascii="宋体" w:hAnsi="宋体" w:hint="eastAsia"/>
          <w:kern w:val="0"/>
          <w:sz w:val="21"/>
          <w:szCs w:val="21"/>
          <w:lang w:val="zh-CN"/>
        </w:rPr>
        <w:t>，有效期三年。</w:t>
      </w:r>
      <w:r>
        <w:rPr>
          <w:rFonts w:eastAsia="Times New Roman" w:cs="Times New Roman"/>
          <w:kern w:val="0"/>
          <w:sz w:val="21"/>
          <w:szCs w:val="21"/>
          <w:lang w:val="en-GB"/>
        </w:rPr>
        <w:t>2017</w:t>
      </w:r>
      <w:r>
        <w:rPr>
          <w:rFonts w:ascii="宋体" w:hAnsi="宋体" w:hint="eastAsia"/>
          <w:kern w:val="0"/>
          <w:sz w:val="21"/>
          <w:szCs w:val="21"/>
          <w:lang w:val="zh-CN"/>
        </w:rPr>
        <w:t>年</w:t>
      </w:r>
      <w:r>
        <w:rPr>
          <w:rFonts w:eastAsia="Times New Roman" w:cs="Times New Roman"/>
          <w:kern w:val="0"/>
          <w:sz w:val="21"/>
          <w:szCs w:val="21"/>
          <w:lang w:val="en-GB"/>
        </w:rPr>
        <w:t>-2019</w:t>
      </w:r>
      <w:r>
        <w:rPr>
          <w:rFonts w:ascii="宋体" w:hAnsi="宋体" w:hint="eastAsia"/>
          <w:kern w:val="0"/>
          <w:sz w:val="21"/>
          <w:szCs w:val="21"/>
          <w:lang w:val="zh-CN"/>
        </w:rPr>
        <w:t>年，成都海兰天澄科技股份有限公司享有</w:t>
      </w:r>
      <w:r>
        <w:rPr>
          <w:rFonts w:eastAsia="Times New Roman" w:cs="Times New Roman"/>
          <w:kern w:val="0"/>
          <w:sz w:val="21"/>
          <w:szCs w:val="21"/>
          <w:lang w:val="en-GB"/>
        </w:rPr>
        <w:t>15%</w:t>
      </w:r>
      <w:r>
        <w:rPr>
          <w:rFonts w:ascii="宋体" w:hAnsi="宋体" w:hint="eastAsia"/>
          <w:kern w:val="0"/>
          <w:sz w:val="21"/>
          <w:szCs w:val="21"/>
          <w:lang w:val="zh-CN"/>
        </w:rPr>
        <w:t>的企业所得税优惠税率。</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eastAsia="Times New Roman" w:cs="Times New Roman"/>
          <w:kern w:val="0"/>
          <w:sz w:val="21"/>
          <w:szCs w:val="21"/>
          <w:lang w:val="en-GB"/>
        </w:rPr>
        <w:lastRenderedPageBreak/>
        <w:t>2016</w:t>
      </w:r>
      <w:r>
        <w:rPr>
          <w:rFonts w:ascii="宋体" w:hAnsi="宋体" w:hint="eastAsia"/>
          <w:kern w:val="0"/>
          <w:sz w:val="21"/>
          <w:szCs w:val="21"/>
          <w:lang w:val="zh-CN"/>
        </w:rPr>
        <w:t>年</w:t>
      </w:r>
      <w:r>
        <w:rPr>
          <w:rFonts w:eastAsia="Times New Roman" w:cs="Times New Roman"/>
          <w:kern w:val="0"/>
          <w:sz w:val="21"/>
          <w:szCs w:val="21"/>
          <w:lang w:val="en-GB"/>
        </w:rPr>
        <w:t>12</w:t>
      </w:r>
      <w:r>
        <w:rPr>
          <w:rFonts w:ascii="宋体" w:hAnsi="宋体" w:hint="eastAsia"/>
          <w:kern w:val="0"/>
          <w:sz w:val="21"/>
          <w:szCs w:val="21"/>
          <w:lang w:val="zh-CN"/>
        </w:rPr>
        <w:t>月</w:t>
      </w:r>
      <w:r>
        <w:rPr>
          <w:rFonts w:eastAsia="Times New Roman" w:cs="Times New Roman"/>
          <w:kern w:val="0"/>
          <w:sz w:val="21"/>
          <w:szCs w:val="21"/>
          <w:lang w:val="en-GB"/>
        </w:rPr>
        <w:t>22</w:t>
      </w:r>
      <w:r>
        <w:rPr>
          <w:rFonts w:ascii="宋体" w:hAnsi="宋体" w:hint="eastAsia"/>
          <w:kern w:val="0"/>
          <w:sz w:val="21"/>
          <w:szCs w:val="21"/>
          <w:lang w:val="zh-CN"/>
        </w:rPr>
        <w:t>日，经北京市科学技术委员会、北京市财政局、北京市国家税务局、北京市地方税务局批准，本公司之子公司上海海兰劳雷海洋科技有限公司之子公司</w:t>
      </w:r>
      <w:r>
        <w:rPr>
          <w:rFonts w:eastAsia="Times New Roman" w:cs="Times New Roman"/>
          <w:kern w:val="0"/>
          <w:sz w:val="21"/>
          <w:szCs w:val="21"/>
          <w:lang w:val="en-GB"/>
        </w:rPr>
        <w:t>Summerview Company Limited</w:t>
      </w:r>
      <w:r>
        <w:rPr>
          <w:rFonts w:ascii="宋体" w:hAnsi="宋体" w:hint="eastAsia"/>
          <w:kern w:val="0"/>
          <w:sz w:val="21"/>
          <w:szCs w:val="21"/>
          <w:lang w:val="zh-CN"/>
        </w:rPr>
        <w:t>之子公司北京劳雷海洋仪器有限公司被认定为高新技术企业，证书编号</w:t>
      </w:r>
      <w:r>
        <w:rPr>
          <w:rFonts w:eastAsia="Times New Roman" w:cs="Times New Roman"/>
          <w:kern w:val="0"/>
          <w:sz w:val="21"/>
          <w:szCs w:val="21"/>
          <w:lang w:val="en-GB"/>
        </w:rPr>
        <w:t>GR201611001522</w:t>
      </w:r>
      <w:r>
        <w:rPr>
          <w:rFonts w:ascii="宋体" w:hAnsi="宋体" w:hint="eastAsia"/>
          <w:kern w:val="0"/>
          <w:sz w:val="21"/>
          <w:szCs w:val="21"/>
          <w:lang w:val="zh-CN"/>
        </w:rPr>
        <w:t>，有效期三年，</w:t>
      </w:r>
      <w:r>
        <w:rPr>
          <w:rFonts w:eastAsia="Times New Roman" w:cs="Times New Roman"/>
          <w:kern w:val="0"/>
          <w:sz w:val="21"/>
          <w:szCs w:val="21"/>
          <w:lang w:val="en-GB"/>
        </w:rPr>
        <w:t>2016</w:t>
      </w:r>
      <w:r>
        <w:rPr>
          <w:rFonts w:ascii="宋体" w:hAnsi="宋体" w:hint="eastAsia"/>
          <w:kern w:val="0"/>
          <w:sz w:val="21"/>
          <w:szCs w:val="21"/>
          <w:lang w:val="zh-CN"/>
        </w:rPr>
        <w:t>年</w:t>
      </w:r>
      <w:r>
        <w:rPr>
          <w:rFonts w:eastAsia="Times New Roman" w:cs="Times New Roman"/>
          <w:kern w:val="0"/>
          <w:sz w:val="21"/>
          <w:szCs w:val="21"/>
          <w:lang w:val="en-GB"/>
        </w:rPr>
        <w:t>-2018</w:t>
      </w:r>
      <w:r>
        <w:rPr>
          <w:rFonts w:ascii="宋体" w:hAnsi="宋体" w:hint="eastAsia"/>
          <w:kern w:val="0"/>
          <w:sz w:val="21"/>
          <w:szCs w:val="21"/>
          <w:lang w:val="zh-CN"/>
        </w:rPr>
        <w:t>年享有</w:t>
      </w:r>
      <w:r>
        <w:rPr>
          <w:rFonts w:eastAsia="Times New Roman" w:cs="Times New Roman"/>
          <w:kern w:val="0"/>
          <w:sz w:val="21"/>
          <w:szCs w:val="21"/>
          <w:lang w:val="en-GB"/>
        </w:rPr>
        <w:t>15%</w:t>
      </w:r>
      <w:r>
        <w:rPr>
          <w:rFonts w:ascii="宋体" w:hAnsi="宋体" w:hint="eastAsia"/>
          <w:kern w:val="0"/>
          <w:sz w:val="21"/>
          <w:szCs w:val="21"/>
          <w:lang w:val="zh-CN"/>
        </w:rPr>
        <w:t>的企业所得税优惠税率。</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eastAsia="Times New Roman" w:cs="Times New Roman"/>
          <w:kern w:val="0"/>
          <w:sz w:val="21"/>
          <w:szCs w:val="21"/>
          <w:lang w:val="en-GB"/>
        </w:rPr>
        <w:t>2015</w:t>
      </w:r>
      <w:r>
        <w:rPr>
          <w:rFonts w:ascii="宋体" w:hAnsi="宋体" w:hint="eastAsia"/>
          <w:kern w:val="0"/>
          <w:sz w:val="21"/>
          <w:szCs w:val="21"/>
          <w:lang w:val="zh-CN"/>
        </w:rPr>
        <w:t>年</w:t>
      </w:r>
      <w:r>
        <w:rPr>
          <w:rFonts w:eastAsia="Times New Roman" w:cs="Times New Roman"/>
          <w:kern w:val="0"/>
          <w:sz w:val="21"/>
          <w:szCs w:val="21"/>
          <w:lang w:val="en-GB"/>
        </w:rPr>
        <w:t>10</w:t>
      </w:r>
      <w:r>
        <w:rPr>
          <w:rFonts w:ascii="宋体" w:hAnsi="宋体" w:hint="eastAsia"/>
          <w:kern w:val="0"/>
          <w:sz w:val="21"/>
          <w:szCs w:val="21"/>
          <w:lang w:val="zh-CN"/>
        </w:rPr>
        <w:t>月</w:t>
      </w:r>
      <w:r>
        <w:rPr>
          <w:rFonts w:eastAsia="Times New Roman" w:cs="Times New Roman"/>
          <w:kern w:val="0"/>
          <w:sz w:val="21"/>
          <w:szCs w:val="21"/>
          <w:lang w:val="en-GB"/>
        </w:rPr>
        <w:t>10</w:t>
      </w:r>
      <w:r>
        <w:rPr>
          <w:rFonts w:ascii="宋体" w:hAnsi="宋体" w:hint="eastAsia"/>
          <w:kern w:val="0"/>
          <w:sz w:val="21"/>
          <w:szCs w:val="21"/>
          <w:lang w:val="zh-CN"/>
        </w:rPr>
        <w:t>日，经广东省科学</w:t>
      </w:r>
      <w:r>
        <w:rPr>
          <w:rFonts w:eastAsia="Times New Roman" w:cs="Times New Roman"/>
          <w:kern w:val="0"/>
          <w:sz w:val="21"/>
          <w:szCs w:val="21"/>
          <w:lang w:val="en-GB"/>
        </w:rPr>
        <w:t xml:space="preserve"> </w:t>
      </w:r>
      <w:r>
        <w:rPr>
          <w:rFonts w:ascii="宋体" w:hAnsi="宋体" w:hint="eastAsia"/>
          <w:kern w:val="0"/>
          <w:sz w:val="21"/>
          <w:szCs w:val="21"/>
          <w:lang w:val="zh-CN"/>
        </w:rPr>
        <w:t>技术厅、广东省财政局、广东省国家税务局、广东省地方税务局批准，本公司之子公司上海海兰劳雷海洋科技有限公司之子公司广东蓝图信息技术有限公司被认定为高新技术企业，</w:t>
      </w:r>
      <w:r>
        <w:rPr>
          <w:rFonts w:eastAsia="Times New Roman" w:cs="Times New Roman"/>
          <w:kern w:val="0"/>
          <w:sz w:val="21"/>
          <w:szCs w:val="21"/>
          <w:lang w:val="en-GB"/>
        </w:rPr>
        <w:t xml:space="preserve"> </w:t>
      </w:r>
      <w:r>
        <w:rPr>
          <w:rFonts w:ascii="宋体" w:hAnsi="宋体" w:hint="eastAsia"/>
          <w:kern w:val="0"/>
          <w:sz w:val="21"/>
          <w:szCs w:val="21"/>
          <w:lang w:val="zh-CN"/>
        </w:rPr>
        <w:t>证书编号：</w:t>
      </w:r>
      <w:r>
        <w:rPr>
          <w:rFonts w:eastAsia="Times New Roman" w:cs="Times New Roman"/>
          <w:kern w:val="0"/>
          <w:sz w:val="21"/>
          <w:szCs w:val="21"/>
          <w:lang w:val="en-GB"/>
        </w:rPr>
        <w:t>GR201544001598</w:t>
      </w:r>
      <w:r>
        <w:rPr>
          <w:rFonts w:ascii="宋体" w:hAnsi="宋体" w:hint="eastAsia"/>
          <w:kern w:val="0"/>
          <w:sz w:val="21"/>
          <w:szCs w:val="21"/>
          <w:lang w:val="zh-CN"/>
        </w:rPr>
        <w:t>，有效期三年，</w:t>
      </w:r>
      <w:r>
        <w:rPr>
          <w:rFonts w:eastAsia="Times New Roman" w:cs="Times New Roman"/>
          <w:kern w:val="0"/>
          <w:sz w:val="21"/>
          <w:szCs w:val="21"/>
          <w:lang w:val="en-GB"/>
        </w:rPr>
        <w:t>2015-2017</w:t>
      </w:r>
      <w:r>
        <w:rPr>
          <w:rFonts w:ascii="宋体" w:hAnsi="宋体" w:hint="eastAsia"/>
          <w:kern w:val="0"/>
          <w:sz w:val="21"/>
          <w:szCs w:val="21"/>
          <w:lang w:val="zh-CN"/>
        </w:rPr>
        <w:t>年享有</w:t>
      </w:r>
      <w:r>
        <w:rPr>
          <w:rFonts w:eastAsia="Times New Roman" w:cs="Times New Roman"/>
          <w:kern w:val="0"/>
          <w:sz w:val="21"/>
          <w:szCs w:val="21"/>
          <w:lang w:val="en-GB"/>
        </w:rPr>
        <w:t>15%</w:t>
      </w:r>
      <w:r>
        <w:rPr>
          <w:rFonts w:ascii="宋体" w:hAnsi="宋体" w:hint="eastAsia"/>
          <w:kern w:val="0"/>
          <w:sz w:val="21"/>
          <w:szCs w:val="21"/>
          <w:lang w:val="zh-CN"/>
        </w:rPr>
        <w:t>的企业所得税优惠税率。</w:t>
      </w:r>
      <w:r>
        <w:rPr>
          <w:rFonts w:ascii="宋体" w:hAnsi="宋体" w:hint="eastAsia"/>
          <w:kern w:val="0"/>
          <w:sz w:val="22"/>
          <w:szCs w:val="22"/>
          <w:lang w:val="zh-CN"/>
        </w:rPr>
        <w:t>广东蓝图信息技术有限公司于</w:t>
      </w:r>
      <w:r>
        <w:rPr>
          <w:rFonts w:eastAsia="Times New Roman" w:cs="Times New Roman"/>
          <w:kern w:val="0"/>
          <w:sz w:val="22"/>
          <w:szCs w:val="22"/>
          <w:lang w:val="en-GB"/>
        </w:rPr>
        <w:t>2018</w:t>
      </w:r>
      <w:r>
        <w:rPr>
          <w:rFonts w:ascii="宋体" w:hAnsi="宋体" w:hint="eastAsia"/>
          <w:kern w:val="0"/>
          <w:sz w:val="22"/>
          <w:szCs w:val="22"/>
          <w:lang w:val="zh-CN"/>
        </w:rPr>
        <w:t>年</w:t>
      </w:r>
      <w:r>
        <w:rPr>
          <w:rFonts w:eastAsia="Times New Roman" w:cs="Times New Roman"/>
          <w:kern w:val="0"/>
          <w:sz w:val="22"/>
          <w:szCs w:val="22"/>
          <w:lang w:val="en-GB"/>
        </w:rPr>
        <w:t>6</w:t>
      </w:r>
      <w:r>
        <w:rPr>
          <w:rFonts w:ascii="宋体" w:hAnsi="宋体" w:hint="eastAsia"/>
          <w:kern w:val="0"/>
          <w:sz w:val="22"/>
          <w:szCs w:val="22"/>
          <w:lang w:val="zh-CN"/>
        </w:rPr>
        <w:t>月</w:t>
      </w:r>
      <w:r>
        <w:rPr>
          <w:rFonts w:eastAsia="Times New Roman" w:cs="Times New Roman"/>
          <w:kern w:val="0"/>
          <w:sz w:val="22"/>
          <w:szCs w:val="22"/>
          <w:lang w:val="en-GB"/>
        </w:rPr>
        <w:t>20</w:t>
      </w:r>
      <w:r>
        <w:rPr>
          <w:rFonts w:ascii="宋体" w:hAnsi="宋体" w:hint="eastAsia"/>
          <w:kern w:val="0"/>
          <w:sz w:val="22"/>
          <w:szCs w:val="22"/>
          <w:lang w:val="zh-CN"/>
        </w:rPr>
        <w:t>日提交高新技术企业证书复审申请并已通过预审，</w:t>
      </w:r>
      <w:r>
        <w:rPr>
          <w:rFonts w:eastAsia="Times New Roman" w:cs="Times New Roman"/>
          <w:kern w:val="0"/>
          <w:sz w:val="22"/>
          <w:szCs w:val="22"/>
          <w:lang w:val="en-GB"/>
        </w:rPr>
        <w:t xml:space="preserve"> 2018</w:t>
      </w:r>
      <w:r>
        <w:rPr>
          <w:rFonts w:ascii="宋体" w:hAnsi="宋体" w:hint="eastAsia"/>
          <w:kern w:val="0"/>
          <w:sz w:val="22"/>
          <w:szCs w:val="22"/>
          <w:lang w:val="zh-CN"/>
        </w:rPr>
        <w:t>年所得税税率按</w:t>
      </w:r>
      <w:r>
        <w:rPr>
          <w:rFonts w:eastAsia="Times New Roman" w:cs="Times New Roman"/>
          <w:kern w:val="0"/>
          <w:sz w:val="22"/>
          <w:szCs w:val="22"/>
          <w:lang w:val="en-GB"/>
        </w:rPr>
        <w:t>15%</w:t>
      </w:r>
      <w:r>
        <w:rPr>
          <w:rFonts w:ascii="宋体" w:hAnsi="宋体" w:hint="eastAsia"/>
          <w:kern w:val="0"/>
          <w:sz w:val="22"/>
          <w:szCs w:val="22"/>
          <w:lang w:val="zh-CN"/>
        </w:rPr>
        <w:t>执行。</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eastAsia="Times New Roman" w:cs="Times New Roman"/>
          <w:kern w:val="0"/>
          <w:sz w:val="21"/>
          <w:szCs w:val="21"/>
          <w:lang w:val="en-GB"/>
        </w:rPr>
        <w:t>2017</w:t>
      </w:r>
      <w:r>
        <w:rPr>
          <w:rFonts w:ascii="宋体" w:hAnsi="宋体" w:hint="eastAsia"/>
          <w:kern w:val="0"/>
          <w:sz w:val="21"/>
          <w:szCs w:val="21"/>
          <w:lang w:val="zh-CN"/>
        </w:rPr>
        <w:t>年</w:t>
      </w:r>
      <w:r>
        <w:rPr>
          <w:rFonts w:eastAsia="Times New Roman" w:cs="Times New Roman"/>
          <w:kern w:val="0"/>
          <w:sz w:val="21"/>
          <w:szCs w:val="21"/>
          <w:lang w:val="en-GB"/>
        </w:rPr>
        <w:t>11</w:t>
      </w:r>
      <w:r>
        <w:rPr>
          <w:rFonts w:ascii="宋体" w:hAnsi="宋体" w:hint="eastAsia"/>
          <w:kern w:val="0"/>
          <w:sz w:val="21"/>
          <w:szCs w:val="21"/>
          <w:lang w:val="zh-CN"/>
        </w:rPr>
        <w:t>月</w:t>
      </w:r>
      <w:r>
        <w:rPr>
          <w:rFonts w:eastAsia="Times New Roman" w:cs="Times New Roman"/>
          <w:kern w:val="0"/>
          <w:sz w:val="21"/>
          <w:szCs w:val="21"/>
          <w:lang w:val="en-GB"/>
        </w:rPr>
        <w:t>27</w:t>
      </w:r>
      <w:r>
        <w:rPr>
          <w:rFonts w:ascii="宋体" w:hAnsi="宋体" w:hint="eastAsia"/>
          <w:kern w:val="0"/>
          <w:sz w:val="21"/>
          <w:szCs w:val="21"/>
          <w:lang w:val="zh-CN"/>
        </w:rPr>
        <w:t>日，经海南省科学技术厅、海南省财政厅、海南省国家税务局、海南省地方税务局批准，本公司之子公司三沙海兰信海洋信息科技有限公司被认定为高新技术企业，证书编号：</w:t>
      </w:r>
      <w:r>
        <w:rPr>
          <w:rFonts w:eastAsia="Times New Roman" w:cs="Times New Roman"/>
          <w:kern w:val="0"/>
          <w:sz w:val="21"/>
          <w:szCs w:val="21"/>
          <w:lang w:val="en-GB"/>
        </w:rPr>
        <w:t>GR201746000124</w:t>
      </w:r>
      <w:r>
        <w:rPr>
          <w:rFonts w:ascii="宋体" w:hAnsi="宋体" w:hint="eastAsia"/>
          <w:kern w:val="0"/>
          <w:sz w:val="21"/>
          <w:szCs w:val="21"/>
          <w:lang w:val="zh-CN"/>
        </w:rPr>
        <w:t>，有效期三年，</w:t>
      </w:r>
      <w:r>
        <w:rPr>
          <w:rFonts w:eastAsia="Times New Roman" w:cs="Times New Roman"/>
          <w:kern w:val="0"/>
          <w:sz w:val="21"/>
          <w:szCs w:val="21"/>
          <w:lang w:val="en-GB"/>
        </w:rPr>
        <w:t>2017-2019</w:t>
      </w:r>
      <w:r>
        <w:rPr>
          <w:rFonts w:ascii="宋体" w:hAnsi="宋体" w:hint="eastAsia"/>
          <w:kern w:val="0"/>
          <w:sz w:val="21"/>
          <w:szCs w:val="21"/>
          <w:lang w:val="zh-CN"/>
        </w:rPr>
        <w:t>年享有</w:t>
      </w:r>
      <w:r>
        <w:rPr>
          <w:rFonts w:eastAsia="Times New Roman" w:cs="Times New Roman"/>
          <w:kern w:val="0"/>
          <w:sz w:val="21"/>
          <w:szCs w:val="21"/>
          <w:lang w:val="en-GB"/>
        </w:rPr>
        <w:t>15%</w:t>
      </w:r>
      <w:r>
        <w:rPr>
          <w:rFonts w:ascii="宋体" w:hAnsi="宋体" w:hint="eastAsia"/>
          <w:kern w:val="0"/>
          <w:sz w:val="21"/>
          <w:szCs w:val="21"/>
          <w:lang w:val="zh-CN"/>
        </w:rPr>
        <w:t>的企业所得税优惠税率。</w:t>
      </w:r>
    </w:p>
    <w:p w:rsidR="00A9288A" w:rsidRDefault="00A9288A">
      <w:pPr>
        <w:autoSpaceDE w:val="0"/>
        <w:autoSpaceDN w:val="0"/>
        <w:adjustRightInd w:val="0"/>
        <w:spacing w:before="0" w:after="120"/>
        <w:ind w:firstLine="420"/>
        <w:rPr>
          <w:rFonts w:eastAsia="Times New Roman" w:cs="Times New Roman"/>
          <w:kern w:val="0"/>
          <w:sz w:val="21"/>
          <w:szCs w:val="21"/>
          <w:lang w:val="zh-CN"/>
        </w:rPr>
      </w:pPr>
    </w:p>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2"/>
        <w:rPr>
          <w:rFonts w:eastAsia="Times New Roman" w:cs="Times New Roman"/>
        </w:rPr>
      </w:pPr>
      <w:r>
        <w:rPr>
          <w:rFonts w:cs="Times New Roman"/>
        </w:rPr>
        <w:t>3</w:t>
      </w:r>
      <w:r>
        <w:rPr>
          <w:rFonts w:hint="eastAsia"/>
        </w:rPr>
        <w:t>、其他</w:t>
      </w:r>
    </w:p>
    <w:p w:rsidR="00A9288A" w:rsidRDefault="007A4434">
      <w:pPr>
        <w:pStyle w:val="Chapter"/>
        <w:outlineLvl w:val="1"/>
        <w:rPr>
          <w:rFonts w:eastAsia="Times New Roman" w:cs="Times New Roman"/>
        </w:rPr>
      </w:pPr>
      <w:r>
        <w:rPr>
          <w:rFonts w:hint="eastAsia"/>
        </w:rPr>
        <w:t>七、合并财务报表项目注释</w:t>
      </w:r>
    </w:p>
    <w:p w:rsidR="00A9288A" w:rsidRDefault="007A4434">
      <w:pPr>
        <w:pStyle w:val="Section"/>
        <w:outlineLvl w:val="2"/>
        <w:rPr>
          <w:rFonts w:eastAsia="Times New Roman" w:cs="Times New Roman"/>
        </w:rPr>
      </w:pPr>
      <w:r>
        <w:rPr>
          <w:rFonts w:cs="Times New Roman"/>
        </w:rPr>
        <w:t>1</w:t>
      </w:r>
      <w:r>
        <w:rPr>
          <w:rFonts w:hint="eastAsia"/>
        </w:rPr>
        <w:t>、货币资金</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9"/>
        <w:gridCol w:w="3190"/>
        <w:gridCol w:w="3190"/>
      </w:tblGrid>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库存现金</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178,563.09</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241,617.57</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银行存款</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624,092,416.29</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646,855,179.51</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其他货币资金</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191,962,538.04</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176,087,273.98</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90"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816,233,517.42</w:t>
            </w:r>
          </w:p>
        </w:tc>
        <w:tc>
          <w:tcPr>
            <w:tcW w:w="3190"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823,184,071.06</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其中：存放在境外的款项总额</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131,854,769.70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144,582,682.27</w:t>
            </w:r>
          </w:p>
        </w:tc>
      </w:tr>
    </w:tbl>
    <w:p w:rsidR="00A9288A" w:rsidRDefault="007A4434">
      <w:pPr>
        <w:jc w:val="left"/>
        <w:rPr>
          <w:rFonts w:eastAsia="Times New Roman" w:cs="Times New Roman"/>
        </w:rPr>
      </w:pPr>
      <w:r>
        <w:rPr>
          <w:rFonts w:hint="eastAsia"/>
        </w:rPr>
        <w:t>其他说明</w:t>
      </w:r>
    </w:p>
    <w:p w:rsidR="00A9288A" w:rsidRDefault="007A4434">
      <w:pPr>
        <w:autoSpaceDE w:val="0"/>
        <w:autoSpaceDN w:val="0"/>
        <w:adjustRightInd w:val="0"/>
        <w:spacing w:before="0" w:after="0"/>
        <w:jc w:val="left"/>
        <w:rPr>
          <w:rFonts w:eastAsia="Times New Roman" w:cs="Times New Roman"/>
          <w:kern w:val="0"/>
          <w:sz w:val="21"/>
          <w:szCs w:val="21"/>
          <w:lang w:val="zh-CN"/>
        </w:rPr>
      </w:pPr>
      <w:r>
        <w:rPr>
          <w:rFonts w:ascii="宋体" w:hAnsi="宋体" w:hint="eastAsia"/>
          <w:kern w:val="0"/>
          <w:sz w:val="21"/>
          <w:szCs w:val="21"/>
          <w:lang w:val="zh-CN"/>
        </w:rPr>
        <w:t>期末存在使用有限制款项</w:t>
      </w:r>
      <w:r>
        <w:rPr>
          <w:rFonts w:eastAsia="Times New Roman" w:cs="Times New Roman"/>
          <w:kern w:val="0"/>
          <w:sz w:val="21"/>
          <w:szCs w:val="21"/>
          <w:lang w:val="en-GB"/>
        </w:rPr>
        <w:t>171,052,538.04</w:t>
      </w:r>
      <w:r>
        <w:rPr>
          <w:rFonts w:ascii="宋体" w:hAnsi="宋体" w:hint="eastAsia"/>
          <w:kern w:val="0"/>
          <w:sz w:val="21"/>
          <w:szCs w:val="21"/>
          <w:lang w:val="zh-CN"/>
        </w:rPr>
        <w:t>元</w:t>
      </w:r>
      <w:r>
        <w:rPr>
          <w:rFonts w:eastAsia="Times New Roman" w:cs="Times New Roman"/>
          <w:kern w:val="0"/>
          <w:sz w:val="21"/>
          <w:szCs w:val="21"/>
          <w:lang w:val="en-GB"/>
        </w:rPr>
        <w:t>,</w:t>
      </w:r>
      <w:r>
        <w:rPr>
          <w:rFonts w:ascii="宋体" w:hAnsi="宋体" w:hint="eastAsia"/>
          <w:kern w:val="0"/>
          <w:sz w:val="21"/>
          <w:szCs w:val="21"/>
          <w:lang w:val="zh-CN"/>
        </w:rPr>
        <w:t>均为保函保证金，其中</w:t>
      </w:r>
      <w:r>
        <w:rPr>
          <w:rFonts w:eastAsia="Times New Roman" w:cs="Times New Roman"/>
          <w:kern w:val="0"/>
          <w:sz w:val="21"/>
          <w:szCs w:val="21"/>
          <w:lang w:val="en-GB"/>
        </w:rPr>
        <w:t>1.6</w:t>
      </w:r>
      <w:r>
        <w:rPr>
          <w:rFonts w:ascii="宋体" w:hAnsi="宋体" w:hint="eastAsia"/>
          <w:kern w:val="0"/>
          <w:sz w:val="21"/>
          <w:szCs w:val="21"/>
          <w:lang w:val="zh-CN"/>
        </w:rPr>
        <w:t>亿元系上海海兰劳雷海洋科技有限公司与上海浦东发展银行股份有限公司北京分公司签订保函</w:t>
      </w:r>
      <w:r>
        <w:rPr>
          <w:rFonts w:eastAsia="Times New Roman" w:cs="Times New Roman"/>
          <w:kern w:val="0"/>
          <w:sz w:val="21"/>
          <w:szCs w:val="21"/>
          <w:lang w:val="en-GB"/>
        </w:rPr>
        <w:t>/</w:t>
      </w:r>
      <w:r>
        <w:rPr>
          <w:rFonts w:ascii="宋体" w:hAnsi="宋体" w:hint="eastAsia"/>
          <w:kern w:val="0"/>
          <w:sz w:val="21"/>
          <w:szCs w:val="21"/>
          <w:lang w:val="zh-CN"/>
        </w:rPr>
        <w:t>备用信用证业务协议，支付保证金人民币</w:t>
      </w:r>
      <w:r>
        <w:rPr>
          <w:rFonts w:eastAsia="Times New Roman" w:cs="Times New Roman"/>
          <w:kern w:val="0"/>
          <w:sz w:val="21"/>
          <w:szCs w:val="21"/>
          <w:lang w:val="en-GB"/>
        </w:rPr>
        <w:t>1.6</w:t>
      </w:r>
      <w:r>
        <w:rPr>
          <w:rFonts w:ascii="宋体" w:hAnsi="宋体" w:hint="eastAsia"/>
          <w:kern w:val="0"/>
          <w:sz w:val="21"/>
          <w:szCs w:val="21"/>
          <w:lang w:val="zh-CN"/>
        </w:rPr>
        <w:t>亿元，用以被保证人</w:t>
      </w:r>
      <w:r>
        <w:rPr>
          <w:rFonts w:eastAsia="Times New Roman" w:cs="Times New Roman"/>
          <w:kern w:val="0"/>
          <w:sz w:val="21"/>
          <w:szCs w:val="21"/>
          <w:lang w:val="en-GB"/>
        </w:rPr>
        <w:t>Summerview Company Limited</w:t>
      </w:r>
      <w:r>
        <w:rPr>
          <w:rFonts w:ascii="宋体" w:hAnsi="宋体" w:hint="eastAsia"/>
          <w:kern w:val="0"/>
          <w:sz w:val="21"/>
          <w:szCs w:val="21"/>
          <w:lang w:val="zh-CN"/>
        </w:rPr>
        <w:t>取得上海浦东发展银行股份有限公司香港分行贷款港币</w:t>
      </w:r>
      <w:r>
        <w:rPr>
          <w:rFonts w:eastAsia="Times New Roman" w:cs="Times New Roman"/>
          <w:kern w:val="0"/>
          <w:sz w:val="21"/>
          <w:szCs w:val="21"/>
          <w:lang w:val="en-GB"/>
        </w:rPr>
        <w:t>1.70</w:t>
      </w:r>
      <w:r>
        <w:rPr>
          <w:rFonts w:ascii="宋体" w:hAnsi="宋体" w:hint="eastAsia"/>
          <w:kern w:val="0"/>
          <w:sz w:val="21"/>
          <w:szCs w:val="21"/>
          <w:lang w:val="zh-CN"/>
        </w:rPr>
        <w:t>亿元（折合人民币</w:t>
      </w:r>
      <w:r>
        <w:rPr>
          <w:rFonts w:eastAsia="Times New Roman" w:cs="Times New Roman"/>
          <w:kern w:val="0"/>
          <w:sz w:val="21"/>
          <w:szCs w:val="21"/>
          <w:lang w:val="en-GB"/>
        </w:rPr>
        <w:t>1.43</w:t>
      </w:r>
      <w:r>
        <w:rPr>
          <w:rFonts w:ascii="宋体" w:hAnsi="宋体" w:hint="eastAsia"/>
          <w:kern w:val="0"/>
          <w:sz w:val="21"/>
          <w:szCs w:val="21"/>
          <w:lang w:val="zh-CN"/>
        </w:rPr>
        <w:t>亿元），用于购买劳雷海洋系统有限公司</w:t>
      </w:r>
      <w:r>
        <w:rPr>
          <w:rFonts w:eastAsia="Times New Roman" w:cs="Times New Roman"/>
          <w:kern w:val="0"/>
          <w:sz w:val="21"/>
          <w:szCs w:val="21"/>
          <w:lang w:val="en-GB"/>
        </w:rPr>
        <w:t>17%</w:t>
      </w:r>
      <w:r>
        <w:rPr>
          <w:rFonts w:ascii="宋体" w:hAnsi="宋体" w:hint="eastAsia"/>
          <w:kern w:val="0"/>
          <w:sz w:val="21"/>
          <w:szCs w:val="21"/>
          <w:lang w:val="zh-CN"/>
        </w:rPr>
        <w:t>的股权。</w:t>
      </w:r>
    </w:p>
    <w:p w:rsidR="00A9288A" w:rsidRDefault="007A4434">
      <w:pPr>
        <w:pStyle w:val="Section"/>
        <w:outlineLvl w:val="2"/>
        <w:rPr>
          <w:rFonts w:eastAsia="Times New Roman" w:cs="Times New Roman"/>
        </w:rPr>
      </w:pPr>
      <w:r>
        <w:rPr>
          <w:rFonts w:cs="Times New Roman"/>
        </w:rPr>
        <w:t>2</w:t>
      </w:r>
      <w:r>
        <w:rPr>
          <w:rFonts w:hint="eastAsia"/>
        </w:rPr>
        <w:t>、以公允价值计量且其变动计入当期损益的金融资产</w:t>
      </w:r>
    </w:p>
    <w:p w:rsidR="00A9288A" w:rsidRDefault="007A4434">
      <w:pPr>
        <w:pStyle w:val="Section"/>
        <w:outlineLvl w:val="2"/>
        <w:rPr>
          <w:rFonts w:eastAsia="Times New Roman" w:cs="Times New Roman"/>
        </w:rPr>
      </w:pPr>
      <w:r>
        <w:rPr>
          <w:rFonts w:cs="Times New Roman"/>
        </w:rPr>
        <w:t>3</w:t>
      </w:r>
      <w:r>
        <w:rPr>
          <w:rFonts w:hint="eastAsia"/>
        </w:rPr>
        <w:t>、衍生金融资产</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Section"/>
        <w:outlineLvl w:val="2"/>
        <w:rPr>
          <w:rFonts w:eastAsia="Times New Roman" w:cs="Times New Roman"/>
        </w:rPr>
      </w:pPr>
      <w:r>
        <w:rPr>
          <w:rFonts w:cs="Times New Roman"/>
        </w:rPr>
        <w:lastRenderedPageBreak/>
        <w:t>4</w:t>
      </w:r>
      <w:r>
        <w:rPr>
          <w:rFonts w:hint="eastAsia"/>
        </w:rPr>
        <w:t>、应收票据</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）应收票据分类列示</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9"/>
        <w:gridCol w:w="3190"/>
        <w:gridCol w:w="3190"/>
      </w:tblGrid>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银行承兑票据</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31,575,376.94</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41,980,150.00</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商业承兑票据</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18,050,000.00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206,600.00</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90"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49,625,376.94</w:t>
            </w:r>
          </w:p>
        </w:tc>
        <w:tc>
          <w:tcPr>
            <w:tcW w:w="3190"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42,186,750.00</w:t>
            </w:r>
          </w:p>
        </w:tc>
      </w:tr>
    </w:tbl>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）期末公司已质押的应收票据</w:t>
      </w:r>
    </w:p>
    <w:p w:rsidR="00A9288A" w:rsidRDefault="007A4434">
      <w:pPr>
        <w:pStyle w:val="Section"/>
        <w:outlineLvl w:val="3"/>
        <w:rPr>
          <w:rFonts w:eastAsia="Times New Roman" w:cs="Times New Roman"/>
        </w:rPr>
      </w:pPr>
      <w:r>
        <w:rPr>
          <w:rFonts w:hint="eastAsia"/>
        </w:rPr>
        <w:t>（</w:t>
      </w:r>
      <w:r>
        <w:rPr>
          <w:rFonts w:cs="Times New Roman"/>
        </w:rPr>
        <w:t>3</w:t>
      </w:r>
      <w:r>
        <w:rPr>
          <w:rFonts w:hint="eastAsia"/>
        </w:rPr>
        <w:t>）期末公司已背书或贴现且在资产负债表日尚未到期的应收票据</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9"/>
        <w:gridCol w:w="3190"/>
        <w:gridCol w:w="3190"/>
      </w:tblGrid>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期末终止确认金额</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期末未终止确认金额</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银行承兑票据</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11,015,200.00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商业承兑票据</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380,000.00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11,395,200.00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bl>
    <w:p w:rsidR="00A9288A" w:rsidRDefault="007A4434">
      <w:pPr>
        <w:pStyle w:val="Section"/>
        <w:outlineLvl w:val="3"/>
        <w:rPr>
          <w:rFonts w:eastAsia="Times New Roman" w:cs="Times New Roman"/>
        </w:rPr>
      </w:pPr>
      <w:r>
        <w:rPr>
          <w:rFonts w:hint="eastAsia"/>
        </w:rPr>
        <w:t>（</w:t>
      </w:r>
      <w:r>
        <w:rPr>
          <w:rFonts w:cs="Times New Roman"/>
        </w:rPr>
        <w:t>4</w:t>
      </w:r>
      <w:r>
        <w:rPr>
          <w:rFonts w:hint="eastAsia"/>
        </w:rPr>
        <w:t>）期末公司因出票人未履约而将其转应收账款的票据</w:t>
      </w:r>
    </w:p>
    <w:p w:rsidR="00A9288A" w:rsidRDefault="007A4434">
      <w:pPr>
        <w:pStyle w:val="Section"/>
        <w:outlineLvl w:val="2"/>
        <w:rPr>
          <w:rFonts w:eastAsia="Times New Roman" w:cs="Times New Roman"/>
        </w:rPr>
      </w:pPr>
      <w:r>
        <w:rPr>
          <w:rFonts w:cs="Times New Roman"/>
        </w:rPr>
        <w:t>5</w:t>
      </w:r>
      <w:r>
        <w:rPr>
          <w:rFonts w:hint="eastAsia"/>
        </w:rPr>
        <w:t>、应收账款</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）应收账款分类披露</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33" w:type="dxa"/>
        <w:tblLayout w:type="fixed"/>
        <w:tblCellMar>
          <w:left w:w="28" w:type="dxa"/>
          <w:right w:w="28" w:type="dxa"/>
        </w:tblCellMar>
        <w:tblLook w:val="0000" w:firstRow="0" w:lastRow="0" w:firstColumn="0" w:lastColumn="0" w:noHBand="0" w:noVBand="0"/>
      </w:tblPr>
      <w:tblGrid>
        <w:gridCol w:w="1483"/>
        <w:gridCol w:w="1017"/>
        <w:gridCol w:w="610"/>
        <w:gridCol w:w="942"/>
        <w:gridCol w:w="608"/>
        <w:gridCol w:w="1019"/>
        <w:gridCol w:w="1017"/>
        <w:gridCol w:w="610"/>
        <w:gridCol w:w="942"/>
        <w:gridCol w:w="665"/>
        <w:gridCol w:w="1019"/>
      </w:tblGrid>
      <w:tr w:rsidR="00A9288A">
        <w:trPr>
          <w:trHeight w:val="398"/>
        </w:trPr>
        <w:tc>
          <w:tcPr>
            <w:tcW w:w="148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类别</w:t>
            </w:r>
          </w:p>
        </w:tc>
        <w:tc>
          <w:tcPr>
            <w:tcW w:w="4196" w:type="dxa"/>
            <w:gridSpan w:val="5"/>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期末余额</w:t>
            </w:r>
          </w:p>
        </w:tc>
        <w:tc>
          <w:tcPr>
            <w:tcW w:w="4253" w:type="dxa"/>
            <w:gridSpan w:val="5"/>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期初余额</w:t>
            </w:r>
          </w:p>
        </w:tc>
      </w:tr>
      <w:tr w:rsidR="00A9288A">
        <w:trPr>
          <w:trHeight w:val="398"/>
        </w:trPr>
        <w:tc>
          <w:tcPr>
            <w:tcW w:w="1483"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sz w:val="15"/>
                <w:szCs w:val="15"/>
              </w:rPr>
            </w:pPr>
          </w:p>
        </w:tc>
        <w:tc>
          <w:tcPr>
            <w:tcW w:w="1627"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账面余额</w:t>
            </w:r>
          </w:p>
        </w:tc>
        <w:tc>
          <w:tcPr>
            <w:tcW w:w="1550"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坏账准备</w:t>
            </w:r>
          </w:p>
        </w:tc>
        <w:tc>
          <w:tcPr>
            <w:tcW w:w="1019"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账面价值</w:t>
            </w:r>
          </w:p>
        </w:tc>
        <w:tc>
          <w:tcPr>
            <w:tcW w:w="1627"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账面余额</w:t>
            </w:r>
          </w:p>
        </w:tc>
        <w:tc>
          <w:tcPr>
            <w:tcW w:w="1607"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坏账准备</w:t>
            </w:r>
          </w:p>
        </w:tc>
        <w:tc>
          <w:tcPr>
            <w:tcW w:w="1019"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账面价值</w:t>
            </w:r>
          </w:p>
        </w:tc>
      </w:tr>
      <w:tr w:rsidR="00A9288A">
        <w:trPr>
          <w:trHeight w:val="724"/>
        </w:trPr>
        <w:tc>
          <w:tcPr>
            <w:tcW w:w="1483"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sz w:val="15"/>
                <w:szCs w:val="15"/>
              </w:rPr>
            </w:pPr>
          </w:p>
        </w:tc>
        <w:tc>
          <w:tcPr>
            <w:tcW w:w="101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金额</w:t>
            </w:r>
          </w:p>
        </w:tc>
        <w:tc>
          <w:tcPr>
            <w:tcW w:w="61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比例</w:t>
            </w:r>
          </w:p>
        </w:tc>
        <w:tc>
          <w:tcPr>
            <w:tcW w:w="94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金额</w:t>
            </w:r>
          </w:p>
        </w:tc>
        <w:tc>
          <w:tcPr>
            <w:tcW w:w="60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计提比例</w:t>
            </w:r>
          </w:p>
        </w:tc>
        <w:tc>
          <w:tcPr>
            <w:tcW w:w="1019"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sz w:val="15"/>
                <w:szCs w:val="15"/>
              </w:rPr>
            </w:pPr>
          </w:p>
        </w:tc>
        <w:tc>
          <w:tcPr>
            <w:tcW w:w="101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金额</w:t>
            </w:r>
          </w:p>
        </w:tc>
        <w:tc>
          <w:tcPr>
            <w:tcW w:w="61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比例</w:t>
            </w:r>
          </w:p>
        </w:tc>
        <w:tc>
          <w:tcPr>
            <w:tcW w:w="94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金额</w:t>
            </w:r>
          </w:p>
        </w:tc>
        <w:tc>
          <w:tcPr>
            <w:tcW w:w="66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计提比例</w:t>
            </w:r>
          </w:p>
        </w:tc>
        <w:tc>
          <w:tcPr>
            <w:tcW w:w="1019"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sz w:val="15"/>
                <w:szCs w:val="15"/>
              </w:rPr>
            </w:pPr>
          </w:p>
        </w:tc>
      </w:tr>
      <w:tr w:rsidR="00A9288A">
        <w:trPr>
          <w:trHeight w:val="1014"/>
        </w:trPr>
        <w:tc>
          <w:tcPr>
            <w:tcW w:w="148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sz w:val="15"/>
                <w:szCs w:val="15"/>
              </w:rPr>
            </w:pPr>
            <w:r>
              <w:rPr>
                <w:rFonts w:hint="eastAsia"/>
                <w:sz w:val="15"/>
                <w:szCs w:val="15"/>
              </w:rPr>
              <w:t>按信用风险特征组合计提坏账准备的应收账款</w:t>
            </w:r>
          </w:p>
        </w:tc>
        <w:tc>
          <w:tcPr>
            <w:tcW w:w="101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414,320,819.88</w:t>
            </w:r>
          </w:p>
        </w:tc>
        <w:tc>
          <w:tcPr>
            <w:tcW w:w="6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99.63%</w:t>
            </w:r>
          </w:p>
        </w:tc>
        <w:tc>
          <w:tcPr>
            <w:tcW w:w="94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39,445,962.25</w:t>
            </w:r>
          </w:p>
        </w:tc>
        <w:tc>
          <w:tcPr>
            <w:tcW w:w="6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9.52%</w:t>
            </w:r>
          </w:p>
        </w:tc>
        <w:tc>
          <w:tcPr>
            <w:tcW w:w="10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374,874,857.63</w:t>
            </w:r>
          </w:p>
        </w:tc>
        <w:tc>
          <w:tcPr>
            <w:tcW w:w="101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404,361,221.43</w:t>
            </w:r>
          </w:p>
        </w:tc>
        <w:tc>
          <w:tcPr>
            <w:tcW w:w="6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99.62%</w:t>
            </w:r>
          </w:p>
        </w:tc>
        <w:tc>
          <w:tcPr>
            <w:tcW w:w="94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40,807,033.94</w:t>
            </w:r>
          </w:p>
        </w:tc>
        <w:tc>
          <w:tcPr>
            <w:tcW w:w="6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10.09%</w:t>
            </w:r>
          </w:p>
        </w:tc>
        <w:tc>
          <w:tcPr>
            <w:tcW w:w="10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363,554,187.49</w:t>
            </w:r>
          </w:p>
        </w:tc>
      </w:tr>
      <w:tr w:rsidR="00A9288A">
        <w:trPr>
          <w:trHeight w:val="1026"/>
        </w:trPr>
        <w:tc>
          <w:tcPr>
            <w:tcW w:w="148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sz w:val="15"/>
                <w:szCs w:val="15"/>
              </w:rPr>
            </w:pPr>
            <w:r>
              <w:rPr>
                <w:rFonts w:hint="eastAsia"/>
                <w:sz w:val="15"/>
                <w:szCs w:val="15"/>
              </w:rPr>
              <w:t>单项金额不重大但单独计提坏账准备的应收账款</w:t>
            </w:r>
          </w:p>
        </w:tc>
        <w:tc>
          <w:tcPr>
            <w:tcW w:w="101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1,539,002.71</w:t>
            </w:r>
          </w:p>
        </w:tc>
        <w:tc>
          <w:tcPr>
            <w:tcW w:w="6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0.37%</w:t>
            </w:r>
          </w:p>
        </w:tc>
        <w:tc>
          <w:tcPr>
            <w:tcW w:w="94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1,539,002.71</w:t>
            </w:r>
          </w:p>
        </w:tc>
        <w:tc>
          <w:tcPr>
            <w:tcW w:w="6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100.00%</w:t>
            </w:r>
          </w:p>
        </w:tc>
        <w:tc>
          <w:tcPr>
            <w:tcW w:w="10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sz w:val="15"/>
                <w:szCs w:val="15"/>
              </w:rPr>
            </w:pPr>
          </w:p>
        </w:tc>
        <w:tc>
          <w:tcPr>
            <w:tcW w:w="101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1,532,379.62</w:t>
            </w:r>
          </w:p>
        </w:tc>
        <w:tc>
          <w:tcPr>
            <w:tcW w:w="6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0.38%</w:t>
            </w:r>
          </w:p>
        </w:tc>
        <w:tc>
          <w:tcPr>
            <w:tcW w:w="94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1,532,379.62</w:t>
            </w:r>
          </w:p>
        </w:tc>
        <w:tc>
          <w:tcPr>
            <w:tcW w:w="6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100.00%</w:t>
            </w:r>
          </w:p>
        </w:tc>
        <w:tc>
          <w:tcPr>
            <w:tcW w:w="10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0.00</w:t>
            </w:r>
          </w:p>
        </w:tc>
      </w:tr>
      <w:tr w:rsidR="00A9288A">
        <w:trPr>
          <w:trHeight w:val="398"/>
        </w:trPr>
        <w:tc>
          <w:tcPr>
            <w:tcW w:w="148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sz w:val="15"/>
                <w:szCs w:val="15"/>
              </w:rPr>
            </w:pPr>
            <w:r>
              <w:rPr>
                <w:rFonts w:hint="eastAsia"/>
                <w:sz w:val="15"/>
                <w:szCs w:val="15"/>
              </w:rPr>
              <w:t>合计</w:t>
            </w:r>
          </w:p>
        </w:tc>
        <w:tc>
          <w:tcPr>
            <w:tcW w:w="101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415,859,822.59</w:t>
            </w:r>
          </w:p>
        </w:tc>
        <w:tc>
          <w:tcPr>
            <w:tcW w:w="6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100.00%</w:t>
            </w:r>
          </w:p>
        </w:tc>
        <w:tc>
          <w:tcPr>
            <w:tcW w:w="94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40,984,964.96</w:t>
            </w:r>
          </w:p>
        </w:tc>
        <w:tc>
          <w:tcPr>
            <w:tcW w:w="60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E8265B">
            <w:pPr>
              <w:jc w:val="right"/>
              <w:rPr>
                <w:rFonts w:cs="Times New Roman"/>
                <w:sz w:val="15"/>
                <w:szCs w:val="15"/>
              </w:rPr>
            </w:pPr>
            <w:r>
              <w:rPr>
                <w:rFonts w:cs="Times New Roman" w:hint="eastAsia"/>
                <w:sz w:val="15"/>
                <w:szCs w:val="15"/>
              </w:rPr>
              <w:t>9.86%</w:t>
            </w:r>
          </w:p>
        </w:tc>
        <w:tc>
          <w:tcPr>
            <w:tcW w:w="101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sz w:val="15"/>
                <w:szCs w:val="15"/>
              </w:rPr>
            </w:pPr>
            <w:r>
              <w:rPr>
                <w:rFonts w:cs="Times New Roman"/>
                <w:sz w:val="15"/>
                <w:szCs w:val="15"/>
              </w:rPr>
              <w:t>374,874,857.63</w:t>
            </w:r>
          </w:p>
        </w:tc>
        <w:tc>
          <w:tcPr>
            <w:tcW w:w="101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405,893,601.05</w:t>
            </w:r>
          </w:p>
        </w:tc>
        <w:tc>
          <w:tcPr>
            <w:tcW w:w="61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100.00%</w:t>
            </w:r>
          </w:p>
        </w:tc>
        <w:tc>
          <w:tcPr>
            <w:tcW w:w="94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42,339,413.56</w:t>
            </w:r>
          </w:p>
        </w:tc>
        <w:tc>
          <w:tcPr>
            <w:tcW w:w="6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10.43%</w:t>
            </w:r>
          </w:p>
        </w:tc>
        <w:tc>
          <w:tcPr>
            <w:tcW w:w="101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sz w:val="15"/>
                <w:szCs w:val="15"/>
              </w:rPr>
            </w:pPr>
            <w:r>
              <w:rPr>
                <w:rFonts w:cs="Times New Roman"/>
                <w:sz w:val="15"/>
                <w:szCs w:val="15"/>
              </w:rPr>
              <w:t>363,554,187.49</w:t>
            </w:r>
          </w:p>
        </w:tc>
      </w:tr>
    </w:tbl>
    <w:p w:rsidR="00A9288A" w:rsidRDefault="007A4434">
      <w:pPr>
        <w:jc w:val="left"/>
        <w:rPr>
          <w:rFonts w:eastAsia="Times New Roman" w:cs="Times New Roman"/>
        </w:rPr>
      </w:pPr>
      <w:r>
        <w:rPr>
          <w:rFonts w:hint="eastAsia"/>
        </w:rPr>
        <w:t>期末单项金额重大并单项计提坏账准备的应收账款：</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lastRenderedPageBreak/>
        <w:t>组合中，按账龄分析法计提坏账准备的应收账款：</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2392"/>
        <w:gridCol w:w="2392"/>
        <w:gridCol w:w="2392"/>
        <w:gridCol w:w="2392"/>
      </w:tblGrid>
      <w:tr w:rsidR="00A9288A">
        <w:tc>
          <w:tcPr>
            <w:tcW w:w="2392"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账龄</w:t>
            </w:r>
          </w:p>
        </w:tc>
        <w:tc>
          <w:tcPr>
            <w:tcW w:w="7176"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r>
      <w:tr w:rsidR="00A9288A">
        <w:tc>
          <w:tcPr>
            <w:tcW w:w="2392"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应收账款</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坏账准备</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计提比例</w:t>
            </w:r>
          </w:p>
        </w:tc>
      </w:tr>
      <w:tr w:rsidR="00A9288A">
        <w:tc>
          <w:tcPr>
            <w:tcW w:w="9568"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年以内分项</w:t>
            </w:r>
          </w:p>
        </w:tc>
      </w:tr>
      <w:tr w:rsidR="00A9288A">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年以内小计</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177,802,903.52</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8,890,145.20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5.00%</w:t>
            </w:r>
          </w:p>
        </w:tc>
      </w:tr>
      <w:tr w:rsidR="00A9288A">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至</w:t>
            </w:r>
            <w:r>
              <w:rPr>
                <w:rFonts w:cs="Times New Roman"/>
              </w:rPr>
              <w:t>2</w:t>
            </w:r>
            <w:r>
              <w:rPr>
                <w:rFonts w:hint="eastAsia"/>
              </w:rPr>
              <w:t>年</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52,136,058.76</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5,213,605.88</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w:t>
            </w:r>
          </w:p>
        </w:tc>
      </w:tr>
      <w:tr w:rsidR="00A9288A">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2</w:t>
            </w:r>
            <w:r>
              <w:rPr>
                <w:rFonts w:hint="eastAsia"/>
              </w:rPr>
              <w:t>至</w:t>
            </w:r>
            <w:r>
              <w:rPr>
                <w:rFonts w:cs="Times New Roman"/>
              </w:rPr>
              <w:t>3</w:t>
            </w:r>
            <w:r>
              <w:rPr>
                <w:rFonts w:hint="eastAsia"/>
              </w:rPr>
              <w:t>年</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23,979,521.01</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7,193,856.30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30.00%</w:t>
            </w:r>
          </w:p>
        </w:tc>
      </w:tr>
      <w:tr w:rsidR="00A9288A">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3</w:t>
            </w:r>
            <w:r>
              <w:rPr>
                <w:rFonts w:hint="eastAsia"/>
              </w:rPr>
              <w:t>至</w:t>
            </w:r>
            <w:r>
              <w:rPr>
                <w:rFonts w:cs="Times New Roman"/>
              </w:rPr>
              <w:t>4</w:t>
            </w:r>
            <w:r>
              <w:rPr>
                <w:rFonts w:hint="eastAsia"/>
              </w:rPr>
              <w:t>年</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14,639,897.82</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7,319,948.91</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50.00%</w:t>
            </w:r>
          </w:p>
        </w:tc>
      </w:tr>
      <w:tr w:rsidR="00A9288A">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4</w:t>
            </w:r>
            <w:r>
              <w:rPr>
                <w:rFonts w:hint="eastAsia"/>
              </w:rPr>
              <w:t>至</w:t>
            </w:r>
            <w:r>
              <w:rPr>
                <w:rFonts w:cs="Times New Roman"/>
              </w:rPr>
              <w:t>5</w:t>
            </w:r>
            <w:r>
              <w:rPr>
                <w:rFonts w:hint="eastAsia"/>
              </w:rPr>
              <w:t>年</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7,112,053.33</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5,689,642.66</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80.00%</w:t>
            </w:r>
          </w:p>
        </w:tc>
      </w:tr>
      <w:tr w:rsidR="00A9288A">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5</w:t>
            </w:r>
            <w:r>
              <w:rPr>
                <w:rFonts w:hint="eastAsia"/>
              </w:rPr>
              <w:t>年以上</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5,138,763.30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5,138,763.30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w:t>
            </w:r>
          </w:p>
        </w:tc>
      </w:tr>
      <w:tr w:rsidR="00A9288A">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280,809,197.74</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39,445,962.25</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bl>
    <w:p w:rsidR="00A9288A" w:rsidRDefault="007A4434">
      <w:pPr>
        <w:jc w:val="left"/>
        <w:rPr>
          <w:rFonts w:eastAsia="Times New Roman" w:cs="Times New Roman"/>
        </w:rPr>
      </w:pPr>
      <w:r>
        <w:rPr>
          <w:rFonts w:hint="eastAsia"/>
        </w:rPr>
        <w:t>确定该组合依据的说明：</w:t>
      </w:r>
    </w:p>
    <w:p w:rsidR="00A9288A" w:rsidRDefault="007A4434">
      <w:pPr>
        <w:jc w:val="left"/>
        <w:rPr>
          <w:rFonts w:eastAsia="Times New Roman" w:cs="Times New Roman"/>
        </w:rPr>
      </w:pPr>
      <w:r>
        <w:rPr>
          <w:rFonts w:hint="eastAsia"/>
        </w:rPr>
        <w:t>组合中，采用余额百分比法计提坏账准备的应收账款：</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组合中，采用其他方法计提坏账准备的应收账款：</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10" w:type="dxa"/>
          <w:left w:w="10" w:type="dxa"/>
          <w:bottom w:w="10" w:type="dxa"/>
          <w:right w:w="10" w:type="dxa"/>
        </w:tblCellMar>
        <w:tblLook w:val="0000" w:firstRow="0" w:lastRow="0" w:firstColumn="0" w:lastColumn="0" w:noHBand="0" w:noVBand="0"/>
      </w:tblPr>
      <w:tblGrid>
        <w:gridCol w:w="2420"/>
        <w:gridCol w:w="1480"/>
        <w:gridCol w:w="1060"/>
      </w:tblGrid>
      <w:tr w:rsidR="00A9288A">
        <w:trPr>
          <w:jc w:val="center"/>
        </w:trPr>
        <w:tc>
          <w:tcPr>
            <w:tcW w:w="2420" w:type="dxa"/>
          </w:tcPr>
          <w:p w:rsidR="00A9288A" w:rsidRDefault="007A4434">
            <w:pPr>
              <w:autoSpaceDE w:val="0"/>
              <w:autoSpaceDN w:val="0"/>
              <w:adjustRightInd w:val="0"/>
              <w:spacing w:before="0" w:after="0"/>
              <w:jc w:val="left"/>
              <w:rPr>
                <w:rFonts w:eastAsia="Times New Roman" w:cs="Times New Roman"/>
                <w:b/>
                <w:bCs/>
                <w:kern w:val="0"/>
                <w:lang w:val="zh-CN"/>
              </w:rPr>
            </w:pPr>
            <w:r>
              <w:rPr>
                <w:rFonts w:ascii="宋体" w:hAnsi="宋体" w:hint="eastAsia"/>
                <w:b/>
                <w:bCs/>
                <w:kern w:val="0"/>
                <w:lang w:val="zh-CN"/>
              </w:rPr>
              <w:t>组合名称</w:t>
            </w:r>
          </w:p>
        </w:tc>
        <w:tc>
          <w:tcPr>
            <w:tcW w:w="1480" w:type="dxa"/>
          </w:tcPr>
          <w:p w:rsidR="00A9288A" w:rsidRDefault="007A4434">
            <w:pPr>
              <w:autoSpaceDE w:val="0"/>
              <w:autoSpaceDN w:val="0"/>
              <w:adjustRightInd w:val="0"/>
              <w:spacing w:before="0" w:after="0"/>
              <w:jc w:val="center"/>
              <w:rPr>
                <w:rFonts w:eastAsia="Times New Roman" w:cs="Times New Roman"/>
                <w:b/>
                <w:bCs/>
                <w:kern w:val="0"/>
                <w:lang w:val="zh-CN"/>
              </w:rPr>
            </w:pPr>
            <w:r>
              <w:rPr>
                <w:rFonts w:ascii="宋体" w:hAnsi="宋体" w:hint="eastAsia"/>
                <w:b/>
                <w:bCs/>
                <w:kern w:val="0"/>
                <w:lang w:val="zh-CN"/>
              </w:rPr>
              <w:t>账面余额</w:t>
            </w:r>
          </w:p>
        </w:tc>
        <w:tc>
          <w:tcPr>
            <w:tcW w:w="1060" w:type="dxa"/>
          </w:tcPr>
          <w:p w:rsidR="00A9288A" w:rsidRDefault="007A4434">
            <w:pPr>
              <w:autoSpaceDE w:val="0"/>
              <w:autoSpaceDN w:val="0"/>
              <w:adjustRightInd w:val="0"/>
              <w:spacing w:before="0" w:after="0"/>
              <w:jc w:val="center"/>
              <w:rPr>
                <w:rFonts w:eastAsia="Times New Roman" w:cs="Times New Roman"/>
                <w:b/>
                <w:bCs/>
                <w:kern w:val="0"/>
                <w:lang w:val="zh-CN"/>
              </w:rPr>
            </w:pPr>
            <w:r>
              <w:rPr>
                <w:rFonts w:ascii="宋体" w:hAnsi="宋体" w:hint="eastAsia"/>
                <w:b/>
                <w:bCs/>
                <w:kern w:val="0"/>
                <w:lang w:val="zh-CN"/>
              </w:rPr>
              <w:t>坏账金额</w:t>
            </w:r>
          </w:p>
        </w:tc>
      </w:tr>
      <w:tr w:rsidR="00A9288A">
        <w:trPr>
          <w:jc w:val="center"/>
        </w:trPr>
        <w:tc>
          <w:tcPr>
            <w:tcW w:w="2420" w:type="dxa"/>
          </w:tcPr>
          <w:p w:rsidR="00A9288A" w:rsidRDefault="007A4434">
            <w:pPr>
              <w:autoSpaceDE w:val="0"/>
              <w:autoSpaceDN w:val="0"/>
              <w:adjustRightInd w:val="0"/>
              <w:spacing w:before="0" w:after="0"/>
              <w:jc w:val="center"/>
              <w:rPr>
                <w:rFonts w:eastAsia="Times New Roman" w:cs="Times New Roman"/>
                <w:kern w:val="0"/>
                <w:lang w:val="zh-CN"/>
              </w:rPr>
            </w:pPr>
            <w:r>
              <w:rPr>
                <w:rFonts w:ascii="宋体" w:hAnsi="宋体" w:hint="eastAsia"/>
                <w:kern w:val="0"/>
                <w:lang w:val="zh-CN"/>
              </w:rPr>
              <w:t>与交易对象关系组合</w:t>
            </w:r>
          </w:p>
        </w:tc>
        <w:tc>
          <w:tcPr>
            <w:tcW w:w="1480" w:type="dxa"/>
          </w:tcPr>
          <w:p w:rsidR="00A9288A" w:rsidRDefault="007A4434">
            <w:pPr>
              <w:autoSpaceDE w:val="0"/>
              <w:autoSpaceDN w:val="0"/>
              <w:adjustRightInd w:val="0"/>
              <w:spacing w:before="0" w:after="0"/>
              <w:jc w:val="center"/>
              <w:rPr>
                <w:rFonts w:eastAsia="Times New Roman" w:cs="Times New Roman"/>
                <w:kern w:val="0"/>
                <w:lang w:val="zh-CN"/>
              </w:rPr>
            </w:pPr>
            <w:r>
              <w:rPr>
                <w:rFonts w:eastAsia="Times New Roman" w:cs="Times New Roman"/>
                <w:kern w:val="0"/>
                <w:lang w:val="en-GB"/>
              </w:rPr>
              <w:t>133,511,622.14</w:t>
            </w:r>
          </w:p>
        </w:tc>
        <w:tc>
          <w:tcPr>
            <w:tcW w:w="1060" w:type="dxa"/>
          </w:tcPr>
          <w:p w:rsidR="00A9288A" w:rsidRDefault="00A9288A">
            <w:pPr>
              <w:autoSpaceDE w:val="0"/>
              <w:autoSpaceDN w:val="0"/>
              <w:adjustRightInd w:val="0"/>
              <w:spacing w:before="0" w:after="0"/>
              <w:jc w:val="center"/>
              <w:rPr>
                <w:rFonts w:eastAsia="Times New Roman" w:cs="Times New Roman"/>
                <w:kern w:val="0"/>
                <w:lang w:val="zh-CN"/>
              </w:rPr>
            </w:pPr>
          </w:p>
        </w:tc>
      </w:tr>
    </w:tbl>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）本期计提、收回或转回的坏账准备情况</w:t>
      </w:r>
    </w:p>
    <w:p w:rsidR="00A9288A" w:rsidRDefault="007A4434">
      <w:pPr>
        <w:jc w:val="left"/>
        <w:rPr>
          <w:rFonts w:eastAsia="Times New Roman" w:cs="Times New Roman"/>
        </w:rPr>
      </w:pPr>
      <w:r>
        <w:rPr>
          <w:rFonts w:hint="eastAsia"/>
        </w:rPr>
        <w:t>本期计提坏账准备金额</w:t>
      </w:r>
      <w:r>
        <w:rPr>
          <w:rFonts w:cs="Times New Roman"/>
        </w:rPr>
        <w:t>-1,373,652.47</w:t>
      </w:r>
      <w:r>
        <w:rPr>
          <w:rFonts w:hint="eastAsia"/>
        </w:rPr>
        <w:t>元；本期收回或转回坏账准备金额</w:t>
      </w:r>
      <w:r>
        <w:rPr>
          <w:rFonts w:eastAsia="Times New Roman" w:cs="Times New Roman"/>
        </w:rPr>
        <w:t>0.00</w:t>
      </w:r>
      <w:r>
        <w:rPr>
          <w:rFonts w:hint="eastAsia"/>
        </w:rPr>
        <w:t>元。</w:t>
      </w:r>
    </w:p>
    <w:p w:rsidR="00A9288A" w:rsidRDefault="007A4434">
      <w:pPr>
        <w:pStyle w:val="Section"/>
        <w:outlineLvl w:val="3"/>
        <w:rPr>
          <w:rFonts w:eastAsia="Times New Roman" w:cs="Times New Roman"/>
        </w:rPr>
      </w:pPr>
      <w:r>
        <w:rPr>
          <w:rFonts w:hint="eastAsia"/>
        </w:rPr>
        <w:t>（</w:t>
      </w:r>
      <w:r>
        <w:rPr>
          <w:rFonts w:cs="Times New Roman"/>
        </w:rPr>
        <w:t>3</w:t>
      </w:r>
      <w:r>
        <w:rPr>
          <w:rFonts w:hint="eastAsia"/>
        </w:rPr>
        <w:t>）本期实际核销的应收账款情况</w:t>
      </w:r>
    </w:p>
    <w:p w:rsidR="00A9288A" w:rsidRDefault="007A4434">
      <w:pPr>
        <w:pStyle w:val="Section"/>
        <w:outlineLvl w:val="3"/>
        <w:rPr>
          <w:rFonts w:eastAsia="Times New Roman" w:cs="Times New Roman"/>
        </w:rPr>
      </w:pPr>
      <w:r>
        <w:rPr>
          <w:rFonts w:hint="eastAsia"/>
        </w:rPr>
        <w:t>（</w:t>
      </w:r>
      <w:r>
        <w:rPr>
          <w:rFonts w:cs="Times New Roman"/>
        </w:rPr>
        <w:t>4</w:t>
      </w:r>
      <w:r>
        <w:rPr>
          <w:rFonts w:hint="eastAsia"/>
        </w:rPr>
        <w:t>）按欠款方归集的期末余额前五名的应收账款情况</w:t>
      </w:r>
    </w:p>
    <w:tbl>
      <w:tblPr>
        <w:tblW w:w="0" w:type="auto"/>
        <w:tblInd w:w="-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10" w:type="dxa"/>
          <w:left w:w="10" w:type="dxa"/>
          <w:bottom w:w="10" w:type="dxa"/>
          <w:right w:w="10" w:type="dxa"/>
        </w:tblCellMar>
        <w:tblLook w:val="0000" w:firstRow="0" w:lastRow="0" w:firstColumn="0" w:lastColumn="0" w:noHBand="0" w:noVBand="0"/>
      </w:tblPr>
      <w:tblGrid>
        <w:gridCol w:w="1847"/>
        <w:gridCol w:w="1380"/>
        <w:gridCol w:w="1516"/>
        <w:gridCol w:w="1656"/>
        <w:gridCol w:w="964"/>
        <w:gridCol w:w="1308"/>
      </w:tblGrid>
      <w:tr w:rsidR="00A9288A">
        <w:tc>
          <w:tcPr>
            <w:tcW w:w="1847" w:type="dxa"/>
          </w:tcPr>
          <w:p w:rsidR="00A9288A" w:rsidRDefault="007A4434">
            <w:pPr>
              <w:autoSpaceDE w:val="0"/>
              <w:autoSpaceDN w:val="0"/>
              <w:adjustRightInd w:val="0"/>
              <w:spacing w:before="0" w:after="0"/>
              <w:jc w:val="left"/>
              <w:rPr>
                <w:rFonts w:eastAsia="Times New Roman" w:cs="Times New Roman"/>
                <w:kern w:val="0"/>
                <w:lang w:val="zh-CN"/>
              </w:rPr>
            </w:pPr>
            <w:r>
              <w:rPr>
                <w:rFonts w:ascii="宋体" w:hAnsi="宋体" w:hint="eastAsia"/>
                <w:kern w:val="0"/>
                <w:lang w:val="zh-CN"/>
              </w:rPr>
              <w:t>单位名称</w:t>
            </w:r>
          </w:p>
        </w:tc>
        <w:tc>
          <w:tcPr>
            <w:tcW w:w="1380" w:type="dxa"/>
          </w:tcPr>
          <w:p w:rsidR="00A9288A" w:rsidRDefault="007A4434">
            <w:pPr>
              <w:autoSpaceDE w:val="0"/>
              <w:autoSpaceDN w:val="0"/>
              <w:adjustRightInd w:val="0"/>
              <w:spacing w:before="0" w:after="0"/>
              <w:jc w:val="center"/>
              <w:rPr>
                <w:rFonts w:eastAsia="Times New Roman" w:cs="Times New Roman"/>
                <w:b/>
                <w:bCs/>
                <w:kern w:val="0"/>
                <w:lang w:val="zh-CN"/>
              </w:rPr>
            </w:pPr>
            <w:r>
              <w:rPr>
                <w:rFonts w:ascii="宋体" w:hAnsi="宋体" w:hint="eastAsia"/>
                <w:b/>
                <w:bCs/>
                <w:kern w:val="0"/>
                <w:lang w:val="zh-CN"/>
              </w:rPr>
              <w:t>与本公司关系</w:t>
            </w:r>
          </w:p>
        </w:tc>
        <w:tc>
          <w:tcPr>
            <w:tcW w:w="1516" w:type="dxa"/>
          </w:tcPr>
          <w:p w:rsidR="00A9288A" w:rsidRDefault="007A4434">
            <w:pPr>
              <w:autoSpaceDE w:val="0"/>
              <w:autoSpaceDN w:val="0"/>
              <w:adjustRightInd w:val="0"/>
              <w:spacing w:before="0" w:after="0"/>
              <w:jc w:val="center"/>
              <w:rPr>
                <w:rFonts w:eastAsia="Times New Roman" w:cs="Times New Roman"/>
                <w:b/>
                <w:bCs/>
                <w:kern w:val="0"/>
                <w:lang w:val="zh-CN"/>
              </w:rPr>
            </w:pPr>
            <w:r>
              <w:rPr>
                <w:rFonts w:eastAsia="Times New Roman" w:cs="Times New Roman"/>
                <w:b/>
                <w:bCs/>
                <w:kern w:val="0"/>
                <w:lang w:val="en-GB"/>
              </w:rPr>
              <w:t>2018</w:t>
            </w:r>
            <w:r>
              <w:rPr>
                <w:rFonts w:ascii="宋体" w:hAnsi="宋体" w:hint="eastAsia"/>
                <w:b/>
                <w:bCs/>
                <w:kern w:val="0"/>
                <w:lang w:val="zh-CN"/>
              </w:rPr>
              <w:t>年</w:t>
            </w:r>
            <w:r>
              <w:rPr>
                <w:rFonts w:eastAsia="Times New Roman" w:cs="Times New Roman"/>
                <w:b/>
                <w:bCs/>
                <w:kern w:val="0"/>
                <w:lang w:val="en-GB"/>
              </w:rPr>
              <w:t>6</w:t>
            </w:r>
            <w:r>
              <w:rPr>
                <w:rFonts w:ascii="宋体" w:hAnsi="宋体" w:hint="eastAsia"/>
                <w:b/>
                <w:bCs/>
                <w:kern w:val="0"/>
                <w:lang w:val="zh-CN"/>
              </w:rPr>
              <w:t>月</w:t>
            </w:r>
            <w:r>
              <w:rPr>
                <w:rFonts w:eastAsia="Times New Roman" w:cs="Times New Roman"/>
                <w:b/>
                <w:bCs/>
                <w:kern w:val="0"/>
                <w:lang w:val="en-GB"/>
              </w:rPr>
              <w:t>30</w:t>
            </w:r>
            <w:r>
              <w:rPr>
                <w:rFonts w:ascii="宋体" w:hAnsi="宋体" w:hint="eastAsia"/>
                <w:b/>
                <w:bCs/>
                <w:kern w:val="0"/>
                <w:lang w:val="zh-CN"/>
              </w:rPr>
              <w:t>日</w:t>
            </w:r>
          </w:p>
        </w:tc>
        <w:tc>
          <w:tcPr>
            <w:tcW w:w="1656" w:type="dxa"/>
          </w:tcPr>
          <w:p w:rsidR="00A9288A" w:rsidRDefault="007A4434">
            <w:pPr>
              <w:autoSpaceDE w:val="0"/>
              <w:autoSpaceDN w:val="0"/>
              <w:adjustRightInd w:val="0"/>
              <w:spacing w:before="0" w:after="0"/>
              <w:jc w:val="center"/>
              <w:rPr>
                <w:rFonts w:eastAsia="Times New Roman" w:cs="Times New Roman"/>
                <w:b/>
                <w:bCs/>
                <w:kern w:val="0"/>
                <w:lang w:val="zh-CN"/>
              </w:rPr>
            </w:pPr>
            <w:r>
              <w:rPr>
                <w:rFonts w:ascii="宋体" w:hAnsi="宋体" w:hint="eastAsia"/>
                <w:b/>
                <w:bCs/>
                <w:kern w:val="0"/>
                <w:lang w:val="zh-CN"/>
              </w:rPr>
              <w:t>账龄</w:t>
            </w:r>
          </w:p>
        </w:tc>
        <w:tc>
          <w:tcPr>
            <w:tcW w:w="964" w:type="dxa"/>
          </w:tcPr>
          <w:p w:rsidR="00A9288A" w:rsidRDefault="007A4434">
            <w:pPr>
              <w:autoSpaceDE w:val="0"/>
              <w:autoSpaceDN w:val="0"/>
              <w:adjustRightInd w:val="0"/>
              <w:spacing w:before="0" w:after="0"/>
              <w:jc w:val="center"/>
              <w:rPr>
                <w:rFonts w:eastAsia="Times New Roman" w:cs="Times New Roman"/>
                <w:b/>
                <w:bCs/>
                <w:kern w:val="0"/>
                <w:lang w:val="zh-CN"/>
              </w:rPr>
            </w:pPr>
            <w:r>
              <w:rPr>
                <w:rFonts w:ascii="宋体" w:hAnsi="宋体" w:hint="eastAsia"/>
                <w:b/>
                <w:bCs/>
                <w:kern w:val="0"/>
                <w:lang w:val="zh-CN"/>
              </w:rPr>
              <w:t>占总额比（</w:t>
            </w:r>
            <w:r>
              <w:rPr>
                <w:rFonts w:eastAsia="Times New Roman" w:cs="Times New Roman"/>
                <w:b/>
                <w:bCs/>
                <w:kern w:val="0"/>
                <w:lang w:val="en-GB"/>
              </w:rPr>
              <w:t>%</w:t>
            </w:r>
            <w:r>
              <w:rPr>
                <w:rFonts w:ascii="宋体" w:hAnsi="宋体" w:hint="eastAsia"/>
                <w:b/>
                <w:bCs/>
                <w:kern w:val="0"/>
                <w:lang w:val="zh-CN"/>
              </w:rPr>
              <w:t>）</w:t>
            </w:r>
          </w:p>
        </w:tc>
        <w:tc>
          <w:tcPr>
            <w:tcW w:w="1308" w:type="dxa"/>
          </w:tcPr>
          <w:p w:rsidR="00A9288A" w:rsidRDefault="007A4434">
            <w:pPr>
              <w:autoSpaceDE w:val="0"/>
              <w:autoSpaceDN w:val="0"/>
              <w:adjustRightInd w:val="0"/>
              <w:spacing w:before="0" w:after="0"/>
              <w:jc w:val="center"/>
              <w:rPr>
                <w:rFonts w:eastAsia="Times New Roman" w:cs="Times New Roman"/>
                <w:b/>
                <w:bCs/>
                <w:kern w:val="0"/>
                <w:lang w:val="zh-CN"/>
              </w:rPr>
            </w:pPr>
            <w:r>
              <w:rPr>
                <w:rFonts w:ascii="宋体" w:hAnsi="宋体" w:hint="eastAsia"/>
                <w:b/>
                <w:bCs/>
                <w:kern w:val="0"/>
                <w:lang w:val="zh-CN"/>
              </w:rPr>
              <w:t>坏账准备</w:t>
            </w:r>
          </w:p>
        </w:tc>
      </w:tr>
      <w:tr w:rsidR="00A9288A">
        <w:tc>
          <w:tcPr>
            <w:tcW w:w="1847" w:type="dxa"/>
          </w:tcPr>
          <w:p w:rsidR="00A9288A" w:rsidRDefault="007A4434">
            <w:pPr>
              <w:autoSpaceDE w:val="0"/>
              <w:autoSpaceDN w:val="0"/>
              <w:adjustRightInd w:val="0"/>
              <w:spacing w:before="0" w:after="0"/>
              <w:jc w:val="left"/>
              <w:rPr>
                <w:rFonts w:eastAsia="Times New Roman" w:cs="Times New Roman"/>
                <w:kern w:val="0"/>
                <w:lang w:val="zh-CN"/>
              </w:rPr>
            </w:pPr>
            <w:r>
              <w:rPr>
                <w:rFonts w:ascii="宋体" w:hAnsi="宋体" w:hint="eastAsia"/>
                <w:kern w:val="0"/>
                <w:lang w:val="zh-CN"/>
              </w:rPr>
              <w:t>客户一</w:t>
            </w:r>
          </w:p>
        </w:tc>
        <w:tc>
          <w:tcPr>
            <w:tcW w:w="1380" w:type="dxa"/>
          </w:tcPr>
          <w:p w:rsidR="00A9288A" w:rsidRDefault="007A4434">
            <w:pPr>
              <w:autoSpaceDE w:val="0"/>
              <w:autoSpaceDN w:val="0"/>
              <w:adjustRightInd w:val="0"/>
              <w:spacing w:before="0" w:after="0"/>
              <w:jc w:val="center"/>
              <w:rPr>
                <w:rFonts w:eastAsia="Times New Roman" w:cs="Times New Roman"/>
                <w:kern w:val="0"/>
                <w:lang w:val="zh-CN"/>
              </w:rPr>
            </w:pPr>
            <w:r>
              <w:rPr>
                <w:rFonts w:ascii="宋体" w:hAnsi="宋体" w:hint="eastAsia"/>
                <w:kern w:val="0"/>
                <w:lang w:val="zh-CN"/>
              </w:rPr>
              <w:t>关联方</w:t>
            </w:r>
          </w:p>
        </w:tc>
        <w:tc>
          <w:tcPr>
            <w:tcW w:w="1516"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lang w:val="en-GB"/>
              </w:rPr>
              <w:t xml:space="preserve">116,046,076.09 </w:t>
            </w:r>
          </w:p>
        </w:tc>
        <w:tc>
          <w:tcPr>
            <w:tcW w:w="1656" w:type="dxa"/>
          </w:tcPr>
          <w:p w:rsidR="00A9288A" w:rsidRDefault="007A4434">
            <w:pPr>
              <w:autoSpaceDE w:val="0"/>
              <w:autoSpaceDN w:val="0"/>
              <w:adjustRightInd w:val="0"/>
              <w:spacing w:before="0" w:after="0"/>
              <w:jc w:val="left"/>
              <w:rPr>
                <w:rFonts w:eastAsia="Times New Roman" w:cs="Times New Roman"/>
                <w:kern w:val="0"/>
                <w:lang w:val="zh-CN"/>
              </w:rPr>
            </w:pPr>
            <w:r>
              <w:rPr>
                <w:rFonts w:eastAsia="Times New Roman" w:cs="Times New Roman"/>
                <w:kern w:val="0"/>
                <w:lang w:val="en-GB"/>
              </w:rPr>
              <w:t>1</w:t>
            </w:r>
            <w:r>
              <w:rPr>
                <w:rFonts w:ascii="宋体" w:hAnsi="宋体" w:hint="eastAsia"/>
                <w:kern w:val="0"/>
                <w:lang w:val="zh-CN"/>
              </w:rPr>
              <w:t>年以内</w:t>
            </w:r>
            <w:r>
              <w:rPr>
                <w:rFonts w:eastAsia="Times New Roman" w:cs="Times New Roman"/>
                <w:kern w:val="0"/>
                <w:lang w:val="en-GB"/>
              </w:rPr>
              <w:t>99,537,345.32</w:t>
            </w:r>
            <w:r>
              <w:rPr>
                <w:rFonts w:ascii="宋体" w:hAnsi="宋体" w:hint="eastAsia"/>
                <w:kern w:val="0"/>
                <w:lang w:val="zh-CN"/>
              </w:rPr>
              <w:t>元，</w:t>
            </w:r>
            <w:r>
              <w:rPr>
                <w:rFonts w:eastAsia="Times New Roman" w:cs="Times New Roman"/>
                <w:kern w:val="0"/>
                <w:lang w:val="en-GB"/>
              </w:rPr>
              <w:t>1-2</w:t>
            </w:r>
            <w:r>
              <w:rPr>
                <w:rFonts w:ascii="宋体" w:hAnsi="宋体" w:hint="eastAsia"/>
                <w:kern w:val="0"/>
                <w:lang w:val="zh-CN"/>
              </w:rPr>
              <w:t>年</w:t>
            </w:r>
            <w:r>
              <w:rPr>
                <w:rFonts w:eastAsia="Times New Roman" w:cs="Times New Roman"/>
                <w:kern w:val="0"/>
                <w:lang w:val="en-GB"/>
              </w:rPr>
              <w:t>16,508,730.77</w:t>
            </w:r>
            <w:r>
              <w:rPr>
                <w:rFonts w:ascii="宋体" w:hAnsi="宋体" w:hint="eastAsia"/>
                <w:kern w:val="0"/>
                <w:lang w:val="zh-CN"/>
              </w:rPr>
              <w:t>元</w:t>
            </w:r>
          </w:p>
        </w:tc>
        <w:tc>
          <w:tcPr>
            <w:tcW w:w="964"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lang w:val="en-GB"/>
              </w:rPr>
              <w:t>27.91</w:t>
            </w:r>
          </w:p>
        </w:tc>
        <w:tc>
          <w:tcPr>
            <w:tcW w:w="1308" w:type="dxa"/>
          </w:tcPr>
          <w:p w:rsidR="00A9288A" w:rsidRDefault="00A9288A">
            <w:pPr>
              <w:autoSpaceDE w:val="0"/>
              <w:autoSpaceDN w:val="0"/>
              <w:adjustRightInd w:val="0"/>
              <w:spacing w:before="0" w:after="0"/>
              <w:jc w:val="right"/>
              <w:rPr>
                <w:rFonts w:eastAsia="Times New Roman" w:cs="Times New Roman"/>
                <w:kern w:val="0"/>
                <w:lang w:val="zh-CN"/>
              </w:rPr>
            </w:pPr>
          </w:p>
        </w:tc>
      </w:tr>
      <w:tr w:rsidR="00A9288A">
        <w:tc>
          <w:tcPr>
            <w:tcW w:w="1847" w:type="dxa"/>
          </w:tcPr>
          <w:p w:rsidR="00A9288A" w:rsidRDefault="007A4434">
            <w:pPr>
              <w:autoSpaceDE w:val="0"/>
              <w:autoSpaceDN w:val="0"/>
              <w:adjustRightInd w:val="0"/>
              <w:spacing w:before="0" w:after="0"/>
              <w:rPr>
                <w:rFonts w:eastAsia="Times New Roman" w:cs="Times New Roman"/>
                <w:kern w:val="0"/>
                <w:lang w:val="zh-CN"/>
              </w:rPr>
            </w:pPr>
            <w:r>
              <w:rPr>
                <w:rFonts w:ascii="宋体" w:hAnsi="宋体" w:hint="eastAsia"/>
                <w:kern w:val="0"/>
                <w:lang w:val="zh-CN"/>
              </w:rPr>
              <w:t>客户二</w:t>
            </w:r>
          </w:p>
        </w:tc>
        <w:tc>
          <w:tcPr>
            <w:tcW w:w="1380" w:type="dxa"/>
          </w:tcPr>
          <w:p w:rsidR="00A9288A" w:rsidRDefault="007A4434">
            <w:pPr>
              <w:autoSpaceDE w:val="0"/>
              <w:autoSpaceDN w:val="0"/>
              <w:adjustRightInd w:val="0"/>
              <w:spacing w:before="0" w:after="0"/>
              <w:jc w:val="center"/>
              <w:rPr>
                <w:rFonts w:eastAsia="Times New Roman" w:cs="Times New Roman"/>
                <w:kern w:val="0"/>
                <w:lang w:val="zh-CN"/>
              </w:rPr>
            </w:pPr>
            <w:r>
              <w:rPr>
                <w:rFonts w:ascii="宋体" w:hAnsi="宋体" w:hint="eastAsia"/>
                <w:kern w:val="0"/>
                <w:lang w:val="zh-CN"/>
              </w:rPr>
              <w:t>非关联方</w:t>
            </w:r>
          </w:p>
        </w:tc>
        <w:tc>
          <w:tcPr>
            <w:tcW w:w="1516"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lang w:val="en-GB"/>
              </w:rPr>
              <w:t xml:space="preserve"> 22,501,299.68 </w:t>
            </w:r>
          </w:p>
        </w:tc>
        <w:tc>
          <w:tcPr>
            <w:tcW w:w="1656" w:type="dxa"/>
          </w:tcPr>
          <w:p w:rsidR="00A9288A" w:rsidRDefault="007A4434">
            <w:pPr>
              <w:autoSpaceDE w:val="0"/>
              <w:autoSpaceDN w:val="0"/>
              <w:adjustRightInd w:val="0"/>
              <w:spacing w:before="0" w:after="0"/>
              <w:jc w:val="left"/>
              <w:rPr>
                <w:rFonts w:eastAsia="Times New Roman" w:cs="Times New Roman"/>
                <w:kern w:val="0"/>
                <w:lang w:val="zh-CN"/>
              </w:rPr>
            </w:pPr>
            <w:r>
              <w:rPr>
                <w:rFonts w:eastAsia="Times New Roman" w:cs="Times New Roman"/>
                <w:kern w:val="0"/>
                <w:lang w:val="en-GB"/>
              </w:rPr>
              <w:t>1</w:t>
            </w:r>
            <w:r>
              <w:rPr>
                <w:rFonts w:ascii="宋体" w:hAnsi="宋体" w:hint="eastAsia"/>
                <w:kern w:val="0"/>
                <w:lang w:val="zh-CN"/>
              </w:rPr>
              <w:t>年以内</w:t>
            </w:r>
            <w:r>
              <w:rPr>
                <w:rFonts w:eastAsia="Times New Roman" w:cs="Times New Roman"/>
                <w:kern w:val="0"/>
                <w:lang w:val="en-GB"/>
              </w:rPr>
              <w:t xml:space="preserve"> </w:t>
            </w:r>
          </w:p>
        </w:tc>
        <w:tc>
          <w:tcPr>
            <w:tcW w:w="964"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lang w:val="en-GB"/>
              </w:rPr>
              <w:t>5.41</w:t>
            </w:r>
          </w:p>
        </w:tc>
        <w:tc>
          <w:tcPr>
            <w:tcW w:w="1308"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lang w:val="en-GB"/>
              </w:rPr>
              <w:t xml:space="preserve">1,125,064.98 </w:t>
            </w:r>
          </w:p>
        </w:tc>
      </w:tr>
      <w:tr w:rsidR="00A9288A">
        <w:tc>
          <w:tcPr>
            <w:tcW w:w="1847" w:type="dxa"/>
          </w:tcPr>
          <w:p w:rsidR="00A9288A" w:rsidRDefault="007A4434">
            <w:pPr>
              <w:autoSpaceDE w:val="0"/>
              <w:autoSpaceDN w:val="0"/>
              <w:adjustRightInd w:val="0"/>
              <w:spacing w:before="0" w:after="0"/>
              <w:rPr>
                <w:rFonts w:eastAsia="Times New Roman" w:cs="Times New Roman"/>
                <w:kern w:val="0"/>
                <w:lang w:val="zh-CN"/>
              </w:rPr>
            </w:pPr>
            <w:r>
              <w:rPr>
                <w:rFonts w:ascii="宋体" w:hAnsi="宋体" w:hint="eastAsia"/>
                <w:kern w:val="0"/>
                <w:lang w:val="zh-CN"/>
              </w:rPr>
              <w:t>客户三</w:t>
            </w:r>
          </w:p>
        </w:tc>
        <w:tc>
          <w:tcPr>
            <w:tcW w:w="1380" w:type="dxa"/>
          </w:tcPr>
          <w:p w:rsidR="00A9288A" w:rsidRDefault="007A4434">
            <w:pPr>
              <w:autoSpaceDE w:val="0"/>
              <w:autoSpaceDN w:val="0"/>
              <w:adjustRightInd w:val="0"/>
              <w:spacing w:before="0" w:after="0"/>
              <w:jc w:val="center"/>
              <w:rPr>
                <w:rFonts w:eastAsia="Times New Roman" w:cs="Times New Roman"/>
                <w:kern w:val="0"/>
                <w:lang w:val="zh-CN"/>
              </w:rPr>
            </w:pPr>
            <w:r>
              <w:rPr>
                <w:rFonts w:ascii="宋体" w:hAnsi="宋体" w:hint="eastAsia"/>
                <w:kern w:val="0"/>
                <w:lang w:val="zh-CN"/>
              </w:rPr>
              <w:t>非关联方</w:t>
            </w:r>
          </w:p>
        </w:tc>
        <w:tc>
          <w:tcPr>
            <w:tcW w:w="1516"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lang w:val="en-GB"/>
              </w:rPr>
              <w:t xml:space="preserve"> 16,200,394.42 </w:t>
            </w:r>
          </w:p>
        </w:tc>
        <w:tc>
          <w:tcPr>
            <w:tcW w:w="1656" w:type="dxa"/>
          </w:tcPr>
          <w:p w:rsidR="00A9288A" w:rsidRDefault="007A4434">
            <w:pPr>
              <w:autoSpaceDE w:val="0"/>
              <w:autoSpaceDN w:val="0"/>
              <w:adjustRightInd w:val="0"/>
              <w:spacing w:before="0" w:after="0"/>
              <w:jc w:val="left"/>
              <w:rPr>
                <w:rFonts w:eastAsia="Times New Roman" w:cs="Times New Roman"/>
                <w:kern w:val="0"/>
                <w:lang w:val="zh-CN"/>
              </w:rPr>
            </w:pPr>
            <w:r>
              <w:rPr>
                <w:rFonts w:eastAsia="Times New Roman" w:cs="Times New Roman"/>
                <w:kern w:val="0"/>
                <w:lang w:val="en-GB"/>
              </w:rPr>
              <w:t>1</w:t>
            </w:r>
            <w:r>
              <w:rPr>
                <w:rFonts w:ascii="宋体" w:hAnsi="宋体" w:hint="eastAsia"/>
                <w:kern w:val="0"/>
                <w:lang w:val="zh-CN"/>
              </w:rPr>
              <w:t>年以内</w:t>
            </w:r>
            <w:r>
              <w:rPr>
                <w:rFonts w:eastAsia="Times New Roman" w:cs="Times New Roman"/>
                <w:kern w:val="0"/>
                <w:lang w:val="en-GB"/>
              </w:rPr>
              <w:t xml:space="preserve"> </w:t>
            </w:r>
          </w:p>
        </w:tc>
        <w:tc>
          <w:tcPr>
            <w:tcW w:w="964"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lang w:val="en-GB"/>
              </w:rPr>
              <w:t>3.90</w:t>
            </w:r>
          </w:p>
        </w:tc>
        <w:tc>
          <w:tcPr>
            <w:tcW w:w="1308"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lang w:val="en-GB"/>
              </w:rPr>
              <w:t xml:space="preserve"> 810,019.72 </w:t>
            </w:r>
          </w:p>
        </w:tc>
      </w:tr>
      <w:tr w:rsidR="00A9288A">
        <w:tc>
          <w:tcPr>
            <w:tcW w:w="1847" w:type="dxa"/>
          </w:tcPr>
          <w:p w:rsidR="00A9288A" w:rsidRDefault="007A4434">
            <w:pPr>
              <w:autoSpaceDE w:val="0"/>
              <w:autoSpaceDN w:val="0"/>
              <w:adjustRightInd w:val="0"/>
              <w:spacing w:before="0" w:after="0"/>
              <w:rPr>
                <w:rFonts w:eastAsia="Times New Roman" w:cs="Times New Roman"/>
                <w:kern w:val="0"/>
                <w:lang w:val="zh-CN"/>
              </w:rPr>
            </w:pPr>
            <w:r>
              <w:rPr>
                <w:rFonts w:ascii="宋体" w:hAnsi="宋体" w:hint="eastAsia"/>
                <w:kern w:val="0"/>
                <w:lang w:val="zh-CN"/>
              </w:rPr>
              <w:t>客户四</w:t>
            </w:r>
          </w:p>
        </w:tc>
        <w:tc>
          <w:tcPr>
            <w:tcW w:w="1380" w:type="dxa"/>
          </w:tcPr>
          <w:p w:rsidR="00A9288A" w:rsidRDefault="007A4434">
            <w:pPr>
              <w:autoSpaceDE w:val="0"/>
              <w:autoSpaceDN w:val="0"/>
              <w:adjustRightInd w:val="0"/>
              <w:spacing w:before="0" w:after="0"/>
              <w:jc w:val="center"/>
              <w:rPr>
                <w:rFonts w:eastAsia="Times New Roman" w:cs="Times New Roman"/>
                <w:kern w:val="0"/>
                <w:lang w:val="zh-CN"/>
              </w:rPr>
            </w:pPr>
            <w:r>
              <w:rPr>
                <w:rFonts w:ascii="宋体" w:hAnsi="宋体" w:hint="eastAsia"/>
                <w:kern w:val="0"/>
                <w:lang w:val="zh-CN"/>
              </w:rPr>
              <w:t>关联方</w:t>
            </w:r>
          </w:p>
        </w:tc>
        <w:tc>
          <w:tcPr>
            <w:tcW w:w="1516"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lang w:val="en-GB"/>
              </w:rPr>
              <w:t xml:space="preserve"> 11,312,283.45 </w:t>
            </w:r>
          </w:p>
        </w:tc>
        <w:tc>
          <w:tcPr>
            <w:tcW w:w="1656" w:type="dxa"/>
          </w:tcPr>
          <w:p w:rsidR="00A9288A" w:rsidRDefault="007A4434">
            <w:pPr>
              <w:autoSpaceDE w:val="0"/>
              <w:autoSpaceDN w:val="0"/>
              <w:adjustRightInd w:val="0"/>
              <w:spacing w:before="0" w:after="0"/>
              <w:jc w:val="left"/>
              <w:rPr>
                <w:rFonts w:eastAsia="Times New Roman" w:cs="Times New Roman"/>
                <w:kern w:val="0"/>
                <w:lang w:val="zh-CN"/>
              </w:rPr>
            </w:pPr>
            <w:r>
              <w:rPr>
                <w:rFonts w:eastAsia="Times New Roman" w:cs="Times New Roman"/>
                <w:kern w:val="0"/>
                <w:lang w:val="en-GB"/>
              </w:rPr>
              <w:t>1</w:t>
            </w:r>
            <w:r>
              <w:rPr>
                <w:rFonts w:ascii="宋体" w:hAnsi="宋体" w:hint="eastAsia"/>
                <w:kern w:val="0"/>
                <w:lang w:val="zh-CN"/>
              </w:rPr>
              <w:t>年以内</w:t>
            </w:r>
            <w:r>
              <w:rPr>
                <w:rFonts w:eastAsia="Times New Roman" w:cs="Times New Roman"/>
                <w:kern w:val="0"/>
                <w:lang w:val="en-GB"/>
              </w:rPr>
              <w:t>2,554,322.95</w:t>
            </w:r>
            <w:r>
              <w:rPr>
                <w:rFonts w:ascii="宋体" w:hAnsi="宋体" w:hint="eastAsia"/>
                <w:kern w:val="0"/>
                <w:lang w:val="zh-CN"/>
              </w:rPr>
              <w:t>元，</w:t>
            </w:r>
            <w:r>
              <w:rPr>
                <w:rFonts w:eastAsia="Times New Roman" w:cs="Times New Roman"/>
                <w:kern w:val="0"/>
                <w:lang w:val="en-GB"/>
              </w:rPr>
              <w:t>1-2</w:t>
            </w:r>
            <w:r>
              <w:rPr>
                <w:rFonts w:ascii="宋体" w:hAnsi="宋体" w:hint="eastAsia"/>
                <w:kern w:val="0"/>
                <w:lang w:val="zh-CN"/>
              </w:rPr>
              <w:t>年</w:t>
            </w:r>
            <w:r>
              <w:rPr>
                <w:rFonts w:eastAsia="Times New Roman" w:cs="Times New Roman"/>
                <w:kern w:val="0"/>
                <w:lang w:val="en-GB"/>
              </w:rPr>
              <w:t>8,757,960.50</w:t>
            </w:r>
            <w:r>
              <w:rPr>
                <w:rFonts w:ascii="宋体" w:hAnsi="宋体" w:hint="eastAsia"/>
                <w:kern w:val="0"/>
                <w:lang w:val="zh-CN"/>
              </w:rPr>
              <w:t>元</w:t>
            </w:r>
          </w:p>
        </w:tc>
        <w:tc>
          <w:tcPr>
            <w:tcW w:w="964"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lang w:val="en-GB"/>
              </w:rPr>
              <w:t>2.72</w:t>
            </w:r>
          </w:p>
        </w:tc>
        <w:tc>
          <w:tcPr>
            <w:tcW w:w="1308" w:type="dxa"/>
          </w:tcPr>
          <w:p w:rsidR="00A9288A" w:rsidRDefault="00A9288A">
            <w:pPr>
              <w:autoSpaceDE w:val="0"/>
              <w:autoSpaceDN w:val="0"/>
              <w:adjustRightInd w:val="0"/>
              <w:spacing w:before="0" w:after="0"/>
              <w:jc w:val="right"/>
              <w:rPr>
                <w:rFonts w:eastAsia="Times New Roman" w:cs="Times New Roman"/>
                <w:kern w:val="0"/>
                <w:lang w:val="zh-CN"/>
              </w:rPr>
            </w:pPr>
          </w:p>
        </w:tc>
      </w:tr>
      <w:tr w:rsidR="00A9288A">
        <w:tc>
          <w:tcPr>
            <w:tcW w:w="1847" w:type="dxa"/>
          </w:tcPr>
          <w:p w:rsidR="00A9288A" w:rsidRDefault="007A4434">
            <w:pPr>
              <w:autoSpaceDE w:val="0"/>
              <w:autoSpaceDN w:val="0"/>
              <w:adjustRightInd w:val="0"/>
              <w:spacing w:before="0" w:after="0"/>
              <w:rPr>
                <w:rFonts w:eastAsia="Times New Roman" w:cs="Times New Roman"/>
                <w:kern w:val="0"/>
                <w:lang w:val="zh-CN"/>
              </w:rPr>
            </w:pPr>
            <w:r>
              <w:rPr>
                <w:rFonts w:ascii="宋体" w:hAnsi="宋体" w:hint="eastAsia"/>
                <w:kern w:val="0"/>
                <w:lang w:val="zh-CN"/>
              </w:rPr>
              <w:lastRenderedPageBreak/>
              <w:t>客户五</w:t>
            </w:r>
          </w:p>
        </w:tc>
        <w:tc>
          <w:tcPr>
            <w:tcW w:w="1380" w:type="dxa"/>
          </w:tcPr>
          <w:p w:rsidR="00A9288A" w:rsidRDefault="007A4434">
            <w:pPr>
              <w:autoSpaceDE w:val="0"/>
              <w:autoSpaceDN w:val="0"/>
              <w:adjustRightInd w:val="0"/>
              <w:spacing w:before="0" w:after="0"/>
              <w:jc w:val="center"/>
              <w:rPr>
                <w:rFonts w:eastAsia="Times New Roman" w:cs="Times New Roman"/>
                <w:kern w:val="0"/>
                <w:lang w:val="zh-CN"/>
              </w:rPr>
            </w:pPr>
            <w:r>
              <w:rPr>
                <w:rFonts w:ascii="宋体" w:hAnsi="宋体" w:hint="eastAsia"/>
                <w:kern w:val="0"/>
                <w:lang w:val="zh-CN"/>
              </w:rPr>
              <w:t>非关联方</w:t>
            </w:r>
          </w:p>
        </w:tc>
        <w:tc>
          <w:tcPr>
            <w:tcW w:w="1516"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lang w:val="en-GB"/>
              </w:rPr>
              <w:t xml:space="preserve"> 10,918,440.25 </w:t>
            </w:r>
          </w:p>
        </w:tc>
        <w:tc>
          <w:tcPr>
            <w:tcW w:w="1656" w:type="dxa"/>
          </w:tcPr>
          <w:p w:rsidR="00A9288A" w:rsidRDefault="007A4434">
            <w:pPr>
              <w:autoSpaceDE w:val="0"/>
              <w:autoSpaceDN w:val="0"/>
              <w:adjustRightInd w:val="0"/>
              <w:spacing w:before="0" w:after="0"/>
              <w:jc w:val="left"/>
              <w:rPr>
                <w:rFonts w:eastAsia="Times New Roman" w:cs="Times New Roman"/>
                <w:kern w:val="0"/>
                <w:lang w:val="zh-CN"/>
              </w:rPr>
            </w:pPr>
            <w:r>
              <w:rPr>
                <w:rFonts w:eastAsia="Times New Roman" w:cs="Times New Roman"/>
                <w:kern w:val="0"/>
                <w:lang w:val="en-GB"/>
              </w:rPr>
              <w:t>1</w:t>
            </w:r>
            <w:r>
              <w:rPr>
                <w:rFonts w:ascii="宋体" w:hAnsi="宋体" w:hint="eastAsia"/>
                <w:kern w:val="0"/>
                <w:lang w:val="zh-CN"/>
              </w:rPr>
              <w:t>年以内</w:t>
            </w:r>
            <w:r>
              <w:rPr>
                <w:rFonts w:eastAsia="Times New Roman" w:cs="Times New Roman"/>
                <w:kern w:val="0"/>
                <w:lang w:val="en-GB"/>
              </w:rPr>
              <w:t xml:space="preserve"> </w:t>
            </w:r>
          </w:p>
        </w:tc>
        <w:tc>
          <w:tcPr>
            <w:tcW w:w="964"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lang w:val="en-GB"/>
              </w:rPr>
              <w:t>2.63</w:t>
            </w:r>
          </w:p>
        </w:tc>
        <w:tc>
          <w:tcPr>
            <w:tcW w:w="1308"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lang w:val="en-GB"/>
              </w:rPr>
              <w:t xml:space="preserve"> 545,922.01 </w:t>
            </w:r>
          </w:p>
        </w:tc>
      </w:tr>
      <w:tr w:rsidR="00A9288A">
        <w:tc>
          <w:tcPr>
            <w:tcW w:w="1847" w:type="dxa"/>
          </w:tcPr>
          <w:p w:rsidR="00A9288A" w:rsidRDefault="007A4434">
            <w:pPr>
              <w:autoSpaceDE w:val="0"/>
              <w:autoSpaceDN w:val="0"/>
              <w:adjustRightInd w:val="0"/>
              <w:spacing w:before="0" w:after="0"/>
              <w:jc w:val="center"/>
              <w:rPr>
                <w:rFonts w:eastAsia="Times New Roman" w:cs="Times New Roman"/>
                <w:kern w:val="0"/>
                <w:lang w:val="zh-CN"/>
              </w:rPr>
            </w:pPr>
            <w:r>
              <w:rPr>
                <w:rFonts w:ascii="宋体" w:hAnsi="宋体" w:hint="eastAsia"/>
                <w:kern w:val="0"/>
                <w:u w:val="single"/>
                <w:lang w:val="zh-CN"/>
              </w:rPr>
              <w:t>合计</w:t>
            </w:r>
          </w:p>
        </w:tc>
        <w:tc>
          <w:tcPr>
            <w:tcW w:w="1380" w:type="dxa"/>
          </w:tcPr>
          <w:p w:rsidR="00A9288A" w:rsidRDefault="00A9288A">
            <w:pPr>
              <w:autoSpaceDE w:val="0"/>
              <w:autoSpaceDN w:val="0"/>
              <w:adjustRightInd w:val="0"/>
              <w:spacing w:before="0" w:after="0"/>
              <w:jc w:val="right"/>
              <w:rPr>
                <w:rFonts w:eastAsia="Times New Roman" w:cs="Times New Roman"/>
                <w:kern w:val="0"/>
                <w:lang w:val="zh-CN"/>
              </w:rPr>
            </w:pPr>
          </w:p>
        </w:tc>
        <w:tc>
          <w:tcPr>
            <w:tcW w:w="1516"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u w:val="single"/>
                <w:lang w:val="en-GB"/>
              </w:rPr>
              <w:t xml:space="preserve">176,978,493.89 </w:t>
            </w:r>
          </w:p>
        </w:tc>
        <w:tc>
          <w:tcPr>
            <w:tcW w:w="1656" w:type="dxa"/>
          </w:tcPr>
          <w:p w:rsidR="00A9288A" w:rsidRDefault="00A9288A">
            <w:pPr>
              <w:autoSpaceDE w:val="0"/>
              <w:autoSpaceDN w:val="0"/>
              <w:adjustRightInd w:val="0"/>
              <w:spacing w:before="0" w:after="0"/>
              <w:jc w:val="right"/>
              <w:rPr>
                <w:rFonts w:eastAsia="Times New Roman" w:cs="Times New Roman"/>
                <w:kern w:val="0"/>
                <w:lang w:val="zh-CN"/>
              </w:rPr>
            </w:pPr>
          </w:p>
        </w:tc>
        <w:tc>
          <w:tcPr>
            <w:tcW w:w="964"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u w:val="single"/>
                <w:lang w:val="en-GB"/>
              </w:rPr>
              <w:t>42.56</w:t>
            </w:r>
          </w:p>
        </w:tc>
        <w:tc>
          <w:tcPr>
            <w:tcW w:w="1308"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u w:val="single"/>
                <w:lang w:val="en-GB"/>
              </w:rPr>
              <w:t xml:space="preserve">2,481,006.71 </w:t>
            </w:r>
          </w:p>
        </w:tc>
      </w:tr>
    </w:tbl>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3"/>
        <w:rPr>
          <w:rFonts w:eastAsia="Times New Roman" w:cs="Times New Roman"/>
        </w:rPr>
      </w:pPr>
      <w:r>
        <w:rPr>
          <w:rFonts w:hint="eastAsia"/>
        </w:rPr>
        <w:t>（</w:t>
      </w:r>
      <w:r>
        <w:rPr>
          <w:rFonts w:cs="Times New Roman"/>
        </w:rPr>
        <w:t>5</w:t>
      </w:r>
      <w:r>
        <w:rPr>
          <w:rFonts w:hint="eastAsia"/>
        </w:rPr>
        <w:t>）因金融资产转移而终止确认的应收账款</w:t>
      </w:r>
    </w:p>
    <w:p w:rsidR="00A9288A" w:rsidRDefault="007A4434">
      <w:pPr>
        <w:pStyle w:val="Section"/>
        <w:outlineLvl w:val="3"/>
        <w:rPr>
          <w:rFonts w:eastAsia="Times New Roman" w:cs="Times New Roman"/>
        </w:rPr>
      </w:pPr>
      <w:r>
        <w:rPr>
          <w:rFonts w:hint="eastAsia"/>
        </w:rPr>
        <w:t>（</w:t>
      </w:r>
      <w:r>
        <w:rPr>
          <w:rFonts w:cs="Times New Roman"/>
        </w:rPr>
        <w:t>6</w:t>
      </w:r>
      <w:r>
        <w:rPr>
          <w:rFonts w:hint="eastAsia"/>
        </w:rPr>
        <w:t>）转移应收账款且继续涉入形成的资产、负债金额</w:t>
      </w:r>
    </w:p>
    <w:p w:rsidR="00A9288A" w:rsidRDefault="007A4434">
      <w:pPr>
        <w:pStyle w:val="Section"/>
        <w:outlineLvl w:val="2"/>
        <w:rPr>
          <w:rFonts w:eastAsia="Times New Roman" w:cs="Times New Roman"/>
        </w:rPr>
      </w:pPr>
      <w:r>
        <w:rPr>
          <w:rFonts w:cs="Times New Roman"/>
        </w:rPr>
        <w:t>6</w:t>
      </w:r>
      <w:r>
        <w:rPr>
          <w:rFonts w:hint="eastAsia"/>
        </w:rPr>
        <w:t>、预付款项</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）预付款项按账龄列示</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912"/>
        <w:gridCol w:w="1915"/>
        <w:gridCol w:w="1914"/>
        <w:gridCol w:w="1914"/>
        <w:gridCol w:w="1915"/>
      </w:tblGrid>
      <w:tr w:rsidR="00A9288A">
        <w:tc>
          <w:tcPr>
            <w:tcW w:w="1912"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账龄</w:t>
            </w:r>
          </w:p>
        </w:tc>
        <w:tc>
          <w:tcPr>
            <w:tcW w:w="3829"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3829"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r>
      <w:tr w:rsidR="00A9288A">
        <w:tc>
          <w:tcPr>
            <w:tcW w:w="1912"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91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金额</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比例</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金额</w:t>
            </w:r>
          </w:p>
        </w:tc>
        <w:tc>
          <w:tcPr>
            <w:tcW w:w="191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比例</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年以内</w:t>
            </w:r>
          </w:p>
        </w:tc>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37,590,055.33</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85.04%</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22,409,644.44</w:t>
            </w:r>
          </w:p>
        </w:tc>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89.29%</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至</w:t>
            </w:r>
            <w:r>
              <w:rPr>
                <w:rFonts w:cs="Times New Roman"/>
              </w:rPr>
              <w:t>2</w:t>
            </w:r>
            <w:r>
              <w:rPr>
                <w:rFonts w:hint="eastAsia"/>
              </w:rPr>
              <w:t>年</w:t>
            </w:r>
          </w:p>
        </w:tc>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4,456,237.28</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10.08%</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1,541,078.72</w:t>
            </w:r>
          </w:p>
        </w:tc>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6.14%</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2</w:t>
            </w:r>
            <w:r>
              <w:rPr>
                <w:rFonts w:hint="eastAsia"/>
              </w:rPr>
              <w:t>至</w:t>
            </w:r>
            <w:r>
              <w:rPr>
                <w:rFonts w:cs="Times New Roman"/>
              </w:rPr>
              <w:t>3</w:t>
            </w:r>
            <w:r>
              <w:rPr>
                <w:rFonts w:hint="eastAsia"/>
              </w:rPr>
              <w:t>年</w:t>
            </w:r>
          </w:p>
        </w:tc>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1,050,280.15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2.38%</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655,716.39</w:t>
            </w:r>
          </w:p>
        </w:tc>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2.61%</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3</w:t>
            </w:r>
            <w:r>
              <w:rPr>
                <w:rFonts w:hint="eastAsia"/>
              </w:rPr>
              <w:t>年以上</w:t>
            </w:r>
          </w:p>
        </w:tc>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1,108,317.24</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492,193.57</w:t>
            </w:r>
          </w:p>
        </w:tc>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1.96%</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1915"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44,204,890.00</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191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25,098,633.12</w:t>
            </w:r>
          </w:p>
        </w:tc>
        <w:tc>
          <w:tcPr>
            <w:tcW w:w="191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r>
    </w:tbl>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）按预付对象归集的期末余额前五名的预付款情况</w:t>
      </w:r>
    </w:p>
    <w:tbl>
      <w:tblPr>
        <w:tblW w:w="0" w:type="auto"/>
        <w:tblInd w:w="-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10" w:type="dxa"/>
          <w:left w:w="10" w:type="dxa"/>
          <w:bottom w:w="10" w:type="dxa"/>
          <w:right w:w="10" w:type="dxa"/>
        </w:tblCellMar>
        <w:tblLook w:val="0000" w:firstRow="0" w:lastRow="0" w:firstColumn="0" w:lastColumn="0" w:noHBand="0" w:noVBand="0"/>
      </w:tblPr>
      <w:tblGrid>
        <w:gridCol w:w="1760"/>
        <w:gridCol w:w="1781"/>
        <w:gridCol w:w="2436"/>
        <w:gridCol w:w="1597"/>
        <w:gridCol w:w="2084"/>
      </w:tblGrid>
      <w:tr w:rsidR="00A9288A">
        <w:tc>
          <w:tcPr>
            <w:tcW w:w="1760" w:type="dxa"/>
          </w:tcPr>
          <w:p w:rsidR="00A9288A" w:rsidRDefault="007A4434">
            <w:pPr>
              <w:autoSpaceDE w:val="0"/>
              <w:autoSpaceDN w:val="0"/>
              <w:adjustRightInd w:val="0"/>
              <w:spacing w:before="0" w:after="0"/>
              <w:jc w:val="center"/>
              <w:rPr>
                <w:rFonts w:eastAsia="Times New Roman" w:cs="Times New Roman"/>
                <w:b/>
                <w:bCs/>
                <w:kern w:val="0"/>
                <w:lang w:val="zh-CN"/>
              </w:rPr>
            </w:pPr>
            <w:r>
              <w:rPr>
                <w:rFonts w:ascii="宋体" w:hAnsi="宋体" w:hint="eastAsia"/>
                <w:b/>
                <w:bCs/>
                <w:kern w:val="0"/>
                <w:lang w:val="zh-CN"/>
              </w:rPr>
              <w:t>单位名称</w:t>
            </w:r>
          </w:p>
        </w:tc>
        <w:tc>
          <w:tcPr>
            <w:tcW w:w="1781" w:type="dxa"/>
          </w:tcPr>
          <w:p w:rsidR="00A9288A" w:rsidRDefault="007A4434">
            <w:pPr>
              <w:autoSpaceDE w:val="0"/>
              <w:autoSpaceDN w:val="0"/>
              <w:adjustRightInd w:val="0"/>
              <w:spacing w:before="0" w:after="0"/>
              <w:jc w:val="center"/>
              <w:rPr>
                <w:rFonts w:eastAsia="Times New Roman" w:cs="Times New Roman"/>
                <w:b/>
                <w:bCs/>
                <w:kern w:val="0"/>
                <w:lang w:val="zh-CN"/>
              </w:rPr>
            </w:pPr>
            <w:r>
              <w:rPr>
                <w:rFonts w:ascii="宋体" w:hAnsi="宋体" w:hint="eastAsia"/>
                <w:b/>
                <w:bCs/>
                <w:kern w:val="0"/>
                <w:lang w:val="zh-CN"/>
              </w:rPr>
              <w:t>与本公司关系</w:t>
            </w:r>
          </w:p>
        </w:tc>
        <w:tc>
          <w:tcPr>
            <w:tcW w:w="2436" w:type="dxa"/>
          </w:tcPr>
          <w:p w:rsidR="00A9288A" w:rsidRDefault="007A4434">
            <w:pPr>
              <w:autoSpaceDE w:val="0"/>
              <w:autoSpaceDN w:val="0"/>
              <w:adjustRightInd w:val="0"/>
              <w:spacing w:before="0" w:after="0"/>
              <w:jc w:val="center"/>
              <w:rPr>
                <w:rFonts w:eastAsia="Times New Roman" w:cs="Times New Roman"/>
                <w:b/>
                <w:bCs/>
                <w:kern w:val="0"/>
                <w:lang w:val="zh-CN"/>
              </w:rPr>
            </w:pPr>
            <w:r>
              <w:rPr>
                <w:rFonts w:eastAsia="Times New Roman" w:cs="Times New Roman"/>
                <w:b/>
                <w:bCs/>
                <w:kern w:val="0"/>
                <w:lang w:val="en-GB"/>
              </w:rPr>
              <w:t>2018</w:t>
            </w:r>
            <w:r>
              <w:rPr>
                <w:rFonts w:ascii="宋体" w:hAnsi="宋体" w:hint="eastAsia"/>
                <w:b/>
                <w:bCs/>
                <w:kern w:val="0"/>
                <w:lang w:val="zh-CN"/>
              </w:rPr>
              <w:t>年</w:t>
            </w:r>
            <w:r>
              <w:rPr>
                <w:rFonts w:eastAsia="Times New Roman" w:cs="Times New Roman"/>
                <w:b/>
                <w:bCs/>
                <w:kern w:val="0"/>
                <w:lang w:val="en-GB"/>
              </w:rPr>
              <w:t>6</w:t>
            </w:r>
            <w:r>
              <w:rPr>
                <w:rFonts w:ascii="宋体" w:hAnsi="宋体" w:hint="eastAsia"/>
                <w:b/>
                <w:bCs/>
                <w:kern w:val="0"/>
                <w:lang w:val="zh-CN"/>
              </w:rPr>
              <w:t>月</w:t>
            </w:r>
            <w:r>
              <w:rPr>
                <w:rFonts w:eastAsia="Times New Roman" w:cs="Times New Roman"/>
                <w:b/>
                <w:bCs/>
                <w:kern w:val="0"/>
                <w:lang w:val="en-GB"/>
              </w:rPr>
              <w:t>30</w:t>
            </w:r>
            <w:r>
              <w:rPr>
                <w:rFonts w:ascii="宋体" w:hAnsi="宋体" w:hint="eastAsia"/>
                <w:b/>
                <w:bCs/>
                <w:kern w:val="0"/>
                <w:lang w:val="zh-CN"/>
              </w:rPr>
              <w:t>日</w:t>
            </w:r>
          </w:p>
        </w:tc>
        <w:tc>
          <w:tcPr>
            <w:tcW w:w="1597" w:type="dxa"/>
          </w:tcPr>
          <w:p w:rsidR="00A9288A" w:rsidRDefault="007A4434">
            <w:pPr>
              <w:autoSpaceDE w:val="0"/>
              <w:autoSpaceDN w:val="0"/>
              <w:adjustRightInd w:val="0"/>
              <w:spacing w:before="0" w:after="0"/>
              <w:jc w:val="center"/>
              <w:rPr>
                <w:rFonts w:eastAsia="Times New Roman" w:cs="Times New Roman"/>
                <w:b/>
                <w:bCs/>
                <w:kern w:val="0"/>
                <w:lang w:val="zh-CN"/>
              </w:rPr>
            </w:pPr>
            <w:r>
              <w:rPr>
                <w:rFonts w:ascii="宋体" w:hAnsi="宋体" w:hint="eastAsia"/>
                <w:b/>
                <w:bCs/>
                <w:kern w:val="0"/>
                <w:lang w:val="zh-CN"/>
              </w:rPr>
              <w:t>账龄</w:t>
            </w:r>
          </w:p>
        </w:tc>
        <w:tc>
          <w:tcPr>
            <w:tcW w:w="2084" w:type="dxa"/>
          </w:tcPr>
          <w:p w:rsidR="00A9288A" w:rsidRDefault="007A4434">
            <w:pPr>
              <w:autoSpaceDE w:val="0"/>
              <w:autoSpaceDN w:val="0"/>
              <w:adjustRightInd w:val="0"/>
              <w:spacing w:before="0" w:after="0"/>
              <w:jc w:val="center"/>
              <w:rPr>
                <w:rFonts w:eastAsia="Times New Roman" w:cs="Times New Roman"/>
                <w:b/>
                <w:bCs/>
                <w:kern w:val="0"/>
                <w:lang w:val="zh-CN"/>
              </w:rPr>
            </w:pPr>
            <w:r>
              <w:rPr>
                <w:rFonts w:ascii="宋体" w:hAnsi="宋体" w:hint="eastAsia"/>
                <w:b/>
                <w:bCs/>
                <w:kern w:val="0"/>
                <w:lang w:val="zh-CN"/>
              </w:rPr>
              <w:t>占预付款项期末余额合计数的比例</w:t>
            </w:r>
            <w:r>
              <w:rPr>
                <w:rFonts w:eastAsia="Times New Roman" w:cs="Times New Roman"/>
                <w:b/>
                <w:bCs/>
                <w:kern w:val="0"/>
                <w:lang w:val="zh-CN"/>
              </w:rPr>
              <w:t>(%)</w:t>
            </w:r>
          </w:p>
        </w:tc>
      </w:tr>
      <w:tr w:rsidR="00A9288A">
        <w:tc>
          <w:tcPr>
            <w:tcW w:w="1760" w:type="dxa"/>
          </w:tcPr>
          <w:p w:rsidR="00A9288A" w:rsidRDefault="007A4434">
            <w:pPr>
              <w:autoSpaceDE w:val="0"/>
              <w:autoSpaceDN w:val="0"/>
              <w:adjustRightInd w:val="0"/>
              <w:spacing w:before="0" w:after="0"/>
              <w:rPr>
                <w:rFonts w:eastAsia="Times New Roman" w:cs="Times New Roman"/>
                <w:kern w:val="0"/>
                <w:lang w:val="zh-CN"/>
              </w:rPr>
            </w:pPr>
            <w:r>
              <w:rPr>
                <w:rFonts w:ascii="宋体" w:hAnsi="宋体" w:hint="eastAsia"/>
                <w:kern w:val="0"/>
                <w:lang w:val="zh-CN"/>
              </w:rPr>
              <w:t>供应商一</w:t>
            </w:r>
          </w:p>
        </w:tc>
        <w:tc>
          <w:tcPr>
            <w:tcW w:w="1781" w:type="dxa"/>
          </w:tcPr>
          <w:p w:rsidR="00A9288A" w:rsidRDefault="007A4434">
            <w:pPr>
              <w:autoSpaceDE w:val="0"/>
              <w:autoSpaceDN w:val="0"/>
              <w:adjustRightInd w:val="0"/>
              <w:spacing w:before="0" w:after="0"/>
              <w:jc w:val="center"/>
              <w:rPr>
                <w:rFonts w:eastAsia="Times New Roman" w:cs="Times New Roman"/>
                <w:kern w:val="0"/>
                <w:lang w:val="zh-CN"/>
              </w:rPr>
            </w:pPr>
            <w:r>
              <w:rPr>
                <w:rFonts w:ascii="宋体" w:hAnsi="宋体" w:hint="eastAsia"/>
                <w:kern w:val="0"/>
                <w:lang w:val="zh-CN"/>
              </w:rPr>
              <w:t>非关联方</w:t>
            </w:r>
          </w:p>
        </w:tc>
        <w:tc>
          <w:tcPr>
            <w:tcW w:w="2436"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lang w:val="en-GB"/>
              </w:rPr>
              <w:t xml:space="preserve"> 10,752,054.30 </w:t>
            </w:r>
          </w:p>
        </w:tc>
        <w:tc>
          <w:tcPr>
            <w:tcW w:w="1597" w:type="dxa"/>
          </w:tcPr>
          <w:p w:rsidR="00A9288A" w:rsidRDefault="007A4434">
            <w:pPr>
              <w:autoSpaceDE w:val="0"/>
              <w:autoSpaceDN w:val="0"/>
              <w:adjustRightInd w:val="0"/>
              <w:spacing w:before="0" w:after="0"/>
              <w:jc w:val="center"/>
              <w:rPr>
                <w:rFonts w:eastAsia="Times New Roman" w:cs="Times New Roman"/>
                <w:kern w:val="0"/>
                <w:lang w:val="zh-CN"/>
              </w:rPr>
            </w:pPr>
            <w:r>
              <w:rPr>
                <w:rFonts w:eastAsia="Times New Roman" w:cs="Times New Roman"/>
                <w:kern w:val="0"/>
                <w:lang w:val="en-GB"/>
              </w:rPr>
              <w:t>1</w:t>
            </w:r>
            <w:r>
              <w:rPr>
                <w:rFonts w:ascii="宋体" w:hAnsi="宋体" w:hint="eastAsia"/>
                <w:kern w:val="0"/>
                <w:lang w:val="zh-CN"/>
              </w:rPr>
              <w:t>年以内</w:t>
            </w:r>
          </w:p>
        </w:tc>
        <w:tc>
          <w:tcPr>
            <w:tcW w:w="2084"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lang w:val="en-GB"/>
              </w:rPr>
              <w:t xml:space="preserve"> 24.32 </w:t>
            </w:r>
          </w:p>
        </w:tc>
      </w:tr>
      <w:tr w:rsidR="00A9288A">
        <w:tc>
          <w:tcPr>
            <w:tcW w:w="1760" w:type="dxa"/>
          </w:tcPr>
          <w:p w:rsidR="00A9288A" w:rsidRDefault="007A4434">
            <w:pPr>
              <w:autoSpaceDE w:val="0"/>
              <w:autoSpaceDN w:val="0"/>
              <w:adjustRightInd w:val="0"/>
              <w:spacing w:before="0" w:after="0"/>
              <w:rPr>
                <w:rFonts w:eastAsia="Times New Roman" w:cs="Times New Roman"/>
                <w:kern w:val="0"/>
                <w:lang w:val="zh-CN"/>
              </w:rPr>
            </w:pPr>
            <w:r>
              <w:rPr>
                <w:rFonts w:ascii="宋体" w:hAnsi="宋体" w:hint="eastAsia"/>
                <w:kern w:val="0"/>
                <w:lang w:val="zh-CN"/>
              </w:rPr>
              <w:t>供应商二</w:t>
            </w:r>
          </w:p>
        </w:tc>
        <w:tc>
          <w:tcPr>
            <w:tcW w:w="1781" w:type="dxa"/>
          </w:tcPr>
          <w:p w:rsidR="00A9288A" w:rsidRDefault="007A4434">
            <w:pPr>
              <w:autoSpaceDE w:val="0"/>
              <w:autoSpaceDN w:val="0"/>
              <w:adjustRightInd w:val="0"/>
              <w:spacing w:before="0" w:after="0"/>
              <w:jc w:val="center"/>
              <w:rPr>
                <w:rFonts w:eastAsia="Times New Roman" w:cs="Times New Roman"/>
                <w:kern w:val="0"/>
                <w:lang w:val="zh-CN"/>
              </w:rPr>
            </w:pPr>
            <w:r>
              <w:rPr>
                <w:rFonts w:ascii="宋体" w:hAnsi="宋体" w:hint="eastAsia"/>
                <w:kern w:val="0"/>
                <w:lang w:val="zh-CN"/>
              </w:rPr>
              <w:t>非关联方</w:t>
            </w:r>
          </w:p>
        </w:tc>
        <w:tc>
          <w:tcPr>
            <w:tcW w:w="2436"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lang w:val="en-GB"/>
              </w:rPr>
              <w:t xml:space="preserve"> 6,920,754.38 </w:t>
            </w:r>
          </w:p>
        </w:tc>
        <w:tc>
          <w:tcPr>
            <w:tcW w:w="1597" w:type="dxa"/>
          </w:tcPr>
          <w:p w:rsidR="00A9288A" w:rsidRDefault="007A4434">
            <w:pPr>
              <w:autoSpaceDE w:val="0"/>
              <w:autoSpaceDN w:val="0"/>
              <w:adjustRightInd w:val="0"/>
              <w:spacing w:before="0" w:after="0"/>
              <w:jc w:val="center"/>
              <w:rPr>
                <w:rFonts w:eastAsia="Times New Roman" w:cs="Times New Roman"/>
                <w:kern w:val="0"/>
                <w:lang w:val="zh-CN"/>
              </w:rPr>
            </w:pPr>
            <w:r>
              <w:rPr>
                <w:rFonts w:eastAsia="Times New Roman" w:cs="Times New Roman"/>
                <w:kern w:val="0"/>
                <w:lang w:val="en-GB"/>
              </w:rPr>
              <w:t>1</w:t>
            </w:r>
            <w:r>
              <w:rPr>
                <w:rFonts w:ascii="宋体" w:hAnsi="宋体" w:hint="eastAsia"/>
                <w:kern w:val="0"/>
                <w:lang w:val="zh-CN"/>
              </w:rPr>
              <w:t>年以内</w:t>
            </w:r>
          </w:p>
        </w:tc>
        <w:tc>
          <w:tcPr>
            <w:tcW w:w="2084"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lang w:val="en-GB"/>
              </w:rPr>
              <w:t xml:space="preserve"> 15.66 </w:t>
            </w:r>
          </w:p>
        </w:tc>
      </w:tr>
      <w:tr w:rsidR="00A9288A">
        <w:tc>
          <w:tcPr>
            <w:tcW w:w="1760" w:type="dxa"/>
          </w:tcPr>
          <w:p w:rsidR="00A9288A" w:rsidRDefault="007A4434">
            <w:pPr>
              <w:autoSpaceDE w:val="0"/>
              <w:autoSpaceDN w:val="0"/>
              <w:adjustRightInd w:val="0"/>
              <w:spacing w:before="0" w:after="0"/>
              <w:rPr>
                <w:rFonts w:eastAsia="Times New Roman" w:cs="Times New Roman"/>
                <w:kern w:val="0"/>
                <w:lang w:val="zh-CN"/>
              </w:rPr>
            </w:pPr>
            <w:r>
              <w:rPr>
                <w:rFonts w:ascii="宋体" w:hAnsi="宋体" w:hint="eastAsia"/>
                <w:kern w:val="0"/>
                <w:lang w:val="zh-CN"/>
              </w:rPr>
              <w:t>供应商三</w:t>
            </w:r>
          </w:p>
        </w:tc>
        <w:tc>
          <w:tcPr>
            <w:tcW w:w="1781" w:type="dxa"/>
          </w:tcPr>
          <w:p w:rsidR="00A9288A" w:rsidRDefault="007A4434">
            <w:pPr>
              <w:autoSpaceDE w:val="0"/>
              <w:autoSpaceDN w:val="0"/>
              <w:adjustRightInd w:val="0"/>
              <w:spacing w:before="0" w:after="0"/>
              <w:jc w:val="center"/>
              <w:rPr>
                <w:rFonts w:eastAsia="Times New Roman" w:cs="Times New Roman"/>
                <w:kern w:val="0"/>
                <w:lang w:val="zh-CN"/>
              </w:rPr>
            </w:pPr>
            <w:r>
              <w:rPr>
                <w:rFonts w:ascii="宋体" w:hAnsi="宋体" w:hint="eastAsia"/>
                <w:kern w:val="0"/>
                <w:lang w:val="zh-CN"/>
              </w:rPr>
              <w:t>非关联方</w:t>
            </w:r>
          </w:p>
        </w:tc>
        <w:tc>
          <w:tcPr>
            <w:tcW w:w="2436"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lang w:val="en-GB"/>
              </w:rPr>
              <w:t xml:space="preserve"> 3,014,928.37 </w:t>
            </w:r>
          </w:p>
        </w:tc>
        <w:tc>
          <w:tcPr>
            <w:tcW w:w="1597" w:type="dxa"/>
          </w:tcPr>
          <w:p w:rsidR="00A9288A" w:rsidRDefault="007A4434">
            <w:pPr>
              <w:autoSpaceDE w:val="0"/>
              <w:autoSpaceDN w:val="0"/>
              <w:adjustRightInd w:val="0"/>
              <w:spacing w:before="0" w:after="0"/>
              <w:jc w:val="center"/>
              <w:rPr>
                <w:rFonts w:eastAsia="Times New Roman" w:cs="Times New Roman"/>
                <w:kern w:val="0"/>
                <w:lang w:val="zh-CN"/>
              </w:rPr>
            </w:pPr>
            <w:r>
              <w:rPr>
                <w:rFonts w:eastAsia="Times New Roman" w:cs="Times New Roman"/>
                <w:kern w:val="0"/>
                <w:lang w:val="en-GB"/>
              </w:rPr>
              <w:t>1</w:t>
            </w:r>
            <w:r>
              <w:rPr>
                <w:rFonts w:ascii="宋体" w:hAnsi="宋体" w:hint="eastAsia"/>
                <w:kern w:val="0"/>
                <w:lang w:val="zh-CN"/>
              </w:rPr>
              <w:t>年以内</w:t>
            </w:r>
          </w:p>
        </w:tc>
        <w:tc>
          <w:tcPr>
            <w:tcW w:w="2084"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lang w:val="en-GB"/>
              </w:rPr>
              <w:t xml:space="preserve"> 6.82 </w:t>
            </w:r>
          </w:p>
        </w:tc>
      </w:tr>
      <w:tr w:rsidR="00A9288A">
        <w:tc>
          <w:tcPr>
            <w:tcW w:w="1760" w:type="dxa"/>
          </w:tcPr>
          <w:p w:rsidR="00A9288A" w:rsidRDefault="007A4434">
            <w:pPr>
              <w:autoSpaceDE w:val="0"/>
              <w:autoSpaceDN w:val="0"/>
              <w:adjustRightInd w:val="0"/>
              <w:spacing w:before="0" w:after="0"/>
              <w:rPr>
                <w:rFonts w:eastAsia="Times New Roman" w:cs="Times New Roman"/>
                <w:kern w:val="0"/>
                <w:lang w:val="zh-CN"/>
              </w:rPr>
            </w:pPr>
            <w:r>
              <w:rPr>
                <w:rFonts w:ascii="宋体" w:hAnsi="宋体" w:hint="eastAsia"/>
                <w:kern w:val="0"/>
                <w:lang w:val="zh-CN"/>
              </w:rPr>
              <w:t>供应商四</w:t>
            </w:r>
          </w:p>
        </w:tc>
        <w:tc>
          <w:tcPr>
            <w:tcW w:w="1781" w:type="dxa"/>
          </w:tcPr>
          <w:p w:rsidR="00A9288A" w:rsidRDefault="007A4434">
            <w:pPr>
              <w:autoSpaceDE w:val="0"/>
              <w:autoSpaceDN w:val="0"/>
              <w:adjustRightInd w:val="0"/>
              <w:spacing w:before="0" w:after="0"/>
              <w:jc w:val="center"/>
              <w:rPr>
                <w:rFonts w:eastAsia="Times New Roman" w:cs="Times New Roman"/>
                <w:kern w:val="0"/>
                <w:lang w:val="zh-CN"/>
              </w:rPr>
            </w:pPr>
            <w:r>
              <w:rPr>
                <w:rFonts w:ascii="宋体" w:hAnsi="宋体" w:hint="eastAsia"/>
                <w:kern w:val="0"/>
                <w:lang w:val="zh-CN"/>
              </w:rPr>
              <w:t>非关联方</w:t>
            </w:r>
          </w:p>
        </w:tc>
        <w:tc>
          <w:tcPr>
            <w:tcW w:w="2436"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lang w:val="en-GB"/>
              </w:rPr>
              <w:t xml:space="preserve"> 2,735,644.85 </w:t>
            </w:r>
          </w:p>
        </w:tc>
        <w:tc>
          <w:tcPr>
            <w:tcW w:w="1597" w:type="dxa"/>
          </w:tcPr>
          <w:p w:rsidR="00A9288A" w:rsidRDefault="007A4434">
            <w:pPr>
              <w:autoSpaceDE w:val="0"/>
              <w:autoSpaceDN w:val="0"/>
              <w:adjustRightInd w:val="0"/>
              <w:spacing w:before="0" w:after="0"/>
              <w:jc w:val="center"/>
              <w:rPr>
                <w:rFonts w:eastAsia="Times New Roman" w:cs="Times New Roman"/>
                <w:kern w:val="0"/>
                <w:lang w:val="zh-CN"/>
              </w:rPr>
            </w:pPr>
            <w:r>
              <w:rPr>
                <w:rFonts w:eastAsia="Times New Roman" w:cs="Times New Roman"/>
                <w:kern w:val="0"/>
                <w:lang w:val="en-GB"/>
              </w:rPr>
              <w:t>1</w:t>
            </w:r>
            <w:r>
              <w:rPr>
                <w:rFonts w:ascii="宋体" w:hAnsi="宋体" w:hint="eastAsia"/>
                <w:kern w:val="0"/>
                <w:lang w:val="zh-CN"/>
              </w:rPr>
              <w:t>年以内</w:t>
            </w:r>
          </w:p>
        </w:tc>
        <w:tc>
          <w:tcPr>
            <w:tcW w:w="2084"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lang w:val="en-GB"/>
              </w:rPr>
              <w:t xml:space="preserve"> 6.19 </w:t>
            </w:r>
          </w:p>
        </w:tc>
      </w:tr>
      <w:tr w:rsidR="00A9288A">
        <w:tc>
          <w:tcPr>
            <w:tcW w:w="1760" w:type="dxa"/>
          </w:tcPr>
          <w:p w:rsidR="00A9288A" w:rsidRDefault="007A4434">
            <w:pPr>
              <w:autoSpaceDE w:val="0"/>
              <w:autoSpaceDN w:val="0"/>
              <w:adjustRightInd w:val="0"/>
              <w:spacing w:before="0" w:after="0"/>
              <w:rPr>
                <w:rFonts w:eastAsia="Times New Roman" w:cs="Times New Roman"/>
                <w:kern w:val="0"/>
                <w:lang w:val="zh-CN"/>
              </w:rPr>
            </w:pPr>
            <w:r>
              <w:rPr>
                <w:rFonts w:ascii="宋体" w:hAnsi="宋体" w:hint="eastAsia"/>
                <w:kern w:val="0"/>
                <w:lang w:val="zh-CN"/>
              </w:rPr>
              <w:t>供应商五</w:t>
            </w:r>
          </w:p>
        </w:tc>
        <w:tc>
          <w:tcPr>
            <w:tcW w:w="1781" w:type="dxa"/>
          </w:tcPr>
          <w:p w:rsidR="00A9288A" w:rsidRDefault="007A4434">
            <w:pPr>
              <w:autoSpaceDE w:val="0"/>
              <w:autoSpaceDN w:val="0"/>
              <w:adjustRightInd w:val="0"/>
              <w:spacing w:before="0" w:after="0"/>
              <w:jc w:val="center"/>
              <w:rPr>
                <w:rFonts w:eastAsia="Times New Roman" w:cs="Times New Roman"/>
                <w:kern w:val="0"/>
                <w:lang w:val="zh-CN"/>
              </w:rPr>
            </w:pPr>
            <w:r>
              <w:rPr>
                <w:rFonts w:ascii="宋体" w:hAnsi="宋体" w:hint="eastAsia"/>
                <w:kern w:val="0"/>
                <w:lang w:val="zh-CN"/>
              </w:rPr>
              <w:t>非关联方</w:t>
            </w:r>
          </w:p>
        </w:tc>
        <w:tc>
          <w:tcPr>
            <w:tcW w:w="2436"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lang w:val="en-GB"/>
              </w:rPr>
              <w:t xml:space="preserve"> 2,623,299.01 </w:t>
            </w:r>
          </w:p>
        </w:tc>
        <w:tc>
          <w:tcPr>
            <w:tcW w:w="1597" w:type="dxa"/>
          </w:tcPr>
          <w:p w:rsidR="00A9288A" w:rsidRDefault="007A4434">
            <w:pPr>
              <w:autoSpaceDE w:val="0"/>
              <w:autoSpaceDN w:val="0"/>
              <w:adjustRightInd w:val="0"/>
              <w:spacing w:before="0" w:after="0"/>
              <w:jc w:val="center"/>
              <w:rPr>
                <w:rFonts w:eastAsia="Times New Roman" w:cs="Times New Roman"/>
                <w:kern w:val="0"/>
                <w:lang w:val="zh-CN"/>
              </w:rPr>
            </w:pPr>
            <w:r>
              <w:rPr>
                <w:rFonts w:eastAsia="Times New Roman" w:cs="Times New Roman"/>
                <w:kern w:val="0"/>
                <w:lang w:val="en-GB"/>
              </w:rPr>
              <w:t>1-2</w:t>
            </w:r>
            <w:r>
              <w:rPr>
                <w:rFonts w:ascii="宋体" w:hAnsi="宋体" w:hint="eastAsia"/>
                <w:kern w:val="0"/>
                <w:lang w:val="zh-CN"/>
              </w:rPr>
              <w:t>年</w:t>
            </w:r>
          </w:p>
        </w:tc>
        <w:tc>
          <w:tcPr>
            <w:tcW w:w="2084"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lang w:val="en-GB"/>
              </w:rPr>
              <w:t xml:space="preserve"> 5.93 </w:t>
            </w:r>
          </w:p>
        </w:tc>
      </w:tr>
      <w:tr w:rsidR="00A9288A">
        <w:tc>
          <w:tcPr>
            <w:tcW w:w="1760" w:type="dxa"/>
          </w:tcPr>
          <w:p w:rsidR="00A9288A" w:rsidRDefault="007A4434">
            <w:pPr>
              <w:autoSpaceDE w:val="0"/>
              <w:autoSpaceDN w:val="0"/>
              <w:adjustRightInd w:val="0"/>
              <w:spacing w:before="0" w:after="0"/>
              <w:jc w:val="center"/>
              <w:rPr>
                <w:rFonts w:eastAsia="Times New Roman" w:cs="Times New Roman"/>
                <w:kern w:val="0"/>
                <w:lang w:val="zh-CN"/>
              </w:rPr>
            </w:pPr>
            <w:r>
              <w:rPr>
                <w:rFonts w:ascii="宋体" w:hAnsi="宋体" w:hint="eastAsia"/>
                <w:kern w:val="0"/>
                <w:u w:val="single"/>
                <w:lang w:val="zh-CN"/>
              </w:rPr>
              <w:t>合计</w:t>
            </w:r>
          </w:p>
        </w:tc>
        <w:tc>
          <w:tcPr>
            <w:tcW w:w="1781" w:type="dxa"/>
          </w:tcPr>
          <w:p w:rsidR="00A9288A" w:rsidRDefault="00A9288A">
            <w:pPr>
              <w:autoSpaceDE w:val="0"/>
              <w:autoSpaceDN w:val="0"/>
              <w:adjustRightInd w:val="0"/>
              <w:spacing w:before="0" w:after="0"/>
              <w:ind w:right="300"/>
              <w:jc w:val="right"/>
              <w:rPr>
                <w:rFonts w:eastAsia="Times New Roman" w:cs="Times New Roman"/>
                <w:kern w:val="0"/>
                <w:lang w:val="zh-CN"/>
              </w:rPr>
            </w:pPr>
          </w:p>
        </w:tc>
        <w:tc>
          <w:tcPr>
            <w:tcW w:w="2436"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u w:val="single"/>
                <w:lang w:val="en-GB"/>
              </w:rPr>
              <w:t xml:space="preserve">26,046,680.91 </w:t>
            </w:r>
          </w:p>
        </w:tc>
        <w:tc>
          <w:tcPr>
            <w:tcW w:w="1597" w:type="dxa"/>
          </w:tcPr>
          <w:p w:rsidR="00A9288A" w:rsidRDefault="00A9288A">
            <w:pPr>
              <w:autoSpaceDE w:val="0"/>
              <w:autoSpaceDN w:val="0"/>
              <w:adjustRightInd w:val="0"/>
              <w:spacing w:before="0" w:after="0"/>
              <w:jc w:val="right"/>
              <w:rPr>
                <w:rFonts w:eastAsia="Times New Roman" w:cs="Times New Roman"/>
                <w:kern w:val="0"/>
                <w:lang w:val="zh-CN"/>
              </w:rPr>
            </w:pPr>
          </w:p>
        </w:tc>
        <w:tc>
          <w:tcPr>
            <w:tcW w:w="2084"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lang w:val="en-GB"/>
              </w:rPr>
              <w:t xml:space="preserve"> </w:t>
            </w:r>
            <w:r>
              <w:rPr>
                <w:rFonts w:eastAsia="Times New Roman" w:cs="Times New Roman"/>
                <w:kern w:val="0"/>
                <w:u w:val="single"/>
                <w:lang w:val="en-GB"/>
              </w:rPr>
              <w:t xml:space="preserve">58.92 </w:t>
            </w:r>
          </w:p>
        </w:tc>
      </w:tr>
    </w:tbl>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2"/>
        <w:rPr>
          <w:rFonts w:eastAsia="Times New Roman" w:cs="Times New Roman"/>
        </w:rPr>
      </w:pPr>
      <w:r>
        <w:rPr>
          <w:rFonts w:cs="Times New Roman"/>
        </w:rPr>
        <w:t>7</w:t>
      </w:r>
      <w:r>
        <w:rPr>
          <w:rFonts w:hint="eastAsia"/>
        </w:rPr>
        <w:t>、应收利息</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）应收利息分类</w:t>
      </w: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）重要逾期利息</w:t>
      </w:r>
    </w:p>
    <w:p w:rsidR="00A9288A" w:rsidRDefault="00A9288A">
      <w:pPr>
        <w:jc w:val="left"/>
        <w:rPr>
          <w:rFonts w:eastAsia="Times New Roman" w:cs="Times New Roman"/>
        </w:rPr>
      </w:pPr>
    </w:p>
    <w:p w:rsidR="00A9288A" w:rsidRDefault="007A4434">
      <w:pPr>
        <w:pStyle w:val="Section"/>
        <w:outlineLvl w:val="2"/>
        <w:rPr>
          <w:rFonts w:eastAsia="Times New Roman" w:cs="Times New Roman"/>
        </w:rPr>
      </w:pPr>
      <w:r>
        <w:rPr>
          <w:rFonts w:cs="Times New Roman"/>
        </w:rPr>
        <w:lastRenderedPageBreak/>
        <w:t>8</w:t>
      </w:r>
      <w:r>
        <w:rPr>
          <w:rFonts w:hint="eastAsia"/>
        </w:rPr>
        <w:t>、应收股利</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）应收股利</w:t>
      </w: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）重要的账龄超过</w:t>
      </w:r>
      <w:r>
        <w:rPr>
          <w:rFonts w:cs="Times New Roman"/>
        </w:rPr>
        <w:t>1</w:t>
      </w:r>
      <w:r>
        <w:rPr>
          <w:rFonts w:hint="eastAsia"/>
        </w:rPr>
        <w:t>年的应收股利</w:t>
      </w:r>
    </w:p>
    <w:p w:rsidR="00A9288A" w:rsidRDefault="007A4434">
      <w:pPr>
        <w:pStyle w:val="Section"/>
        <w:outlineLvl w:val="2"/>
        <w:rPr>
          <w:rFonts w:eastAsia="Times New Roman" w:cs="Times New Roman"/>
        </w:rPr>
      </w:pPr>
      <w:r>
        <w:rPr>
          <w:rFonts w:cs="Times New Roman"/>
        </w:rPr>
        <w:t>9</w:t>
      </w:r>
      <w:r>
        <w:rPr>
          <w:rFonts w:hint="eastAsia"/>
        </w:rPr>
        <w:t>、其他应收款</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）其他应收款分类披露</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33" w:type="dxa"/>
        <w:tblLayout w:type="fixed"/>
        <w:tblCellMar>
          <w:left w:w="28" w:type="dxa"/>
          <w:right w:w="28" w:type="dxa"/>
        </w:tblCellMar>
        <w:tblLook w:val="0000" w:firstRow="0" w:lastRow="0" w:firstColumn="0" w:lastColumn="0" w:noHBand="0" w:noVBand="0"/>
      </w:tblPr>
      <w:tblGrid>
        <w:gridCol w:w="1537"/>
        <w:gridCol w:w="919"/>
        <w:gridCol w:w="655"/>
        <w:gridCol w:w="844"/>
        <w:gridCol w:w="656"/>
        <w:gridCol w:w="919"/>
        <w:gridCol w:w="919"/>
        <w:gridCol w:w="655"/>
        <w:gridCol w:w="844"/>
        <w:gridCol w:w="827"/>
        <w:gridCol w:w="919"/>
      </w:tblGrid>
      <w:tr w:rsidR="00A9288A">
        <w:trPr>
          <w:trHeight w:val="386"/>
        </w:trPr>
        <w:tc>
          <w:tcPr>
            <w:tcW w:w="1537"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类别</w:t>
            </w:r>
          </w:p>
        </w:tc>
        <w:tc>
          <w:tcPr>
            <w:tcW w:w="3993" w:type="dxa"/>
            <w:gridSpan w:val="5"/>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期末余额</w:t>
            </w:r>
          </w:p>
        </w:tc>
        <w:tc>
          <w:tcPr>
            <w:tcW w:w="4164" w:type="dxa"/>
            <w:gridSpan w:val="5"/>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期初余额</w:t>
            </w:r>
          </w:p>
        </w:tc>
      </w:tr>
      <w:tr w:rsidR="00A9288A">
        <w:trPr>
          <w:trHeight w:val="410"/>
        </w:trPr>
        <w:tc>
          <w:tcPr>
            <w:tcW w:w="1537"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sz w:val="15"/>
                <w:szCs w:val="15"/>
              </w:rPr>
            </w:pPr>
          </w:p>
        </w:tc>
        <w:tc>
          <w:tcPr>
            <w:tcW w:w="1574"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账面余额</w:t>
            </w:r>
          </w:p>
        </w:tc>
        <w:tc>
          <w:tcPr>
            <w:tcW w:w="1500"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坏账准备</w:t>
            </w:r>
          </w:p>
        </w:tc>
        <w:tc>
          <w:tcPr>
            <w:tcW w:w="919"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账面价值</w:t>
            </w:r>
          </w:p>
        </w:tc>
        <w:tc>
          <w:tcPr>
            <w:tcW w:w="1574"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账面余额</w:t>
            </w:r>
          </w:p>
        </w:tc>
        <w:tc>
          <w:tcPr>
            <w:tcW w:w="1671"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坏账准备</w:t>
            </w:r>
          </w:p>
        </w:tc>
        <w:tc>
          <w:tcPr>
            <w:tcW w:w="919"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账面价值</w:t>
            </w:r>
          </w:p>
        </w:tc>
      </w:tr>
      <w:tr w:rsidR="00A9288A">
        <w:trPr>
          <w:trHeight w:val="398"/>
        </w:trPr>
        <w:tc>
          <w:tcPr>
            <w:tcW w:w="1537"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sz w:val="15"/>
                <w:szCs w:val="15"/>
              </w:rPr>
            </w:pPr>
          </w:p>
        </w:tc>
        <w:tc>
          <w:tcPr>
            <w:tcW w:w="91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金额</w:t>
            </w:r>
          </w:p>
        </w:tc>
        <w:tc>
          <w:tcPr>
            <w:tcW w:w="65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比例</w:t>
            </w:r>
          </w:p>
        </w:tc>
        <w:tc>
          <w:tcPr>
            <w:tcW w:w="84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金额</w:t>
            </w:r>
          </w:p>
        </w:tc>
        <w:tc>
          <w:tcPr>
            <w:tcW w:w="65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计提比例</w:t>
            </w:r>
          </w:p>
        </w:tc>
        <w:tc>
          <w:tcPr>
            <w:tcW w:w="919"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sz w:val="15"/>
                <w:szCs w:val="15"/>
              </w:rPr>
            </w:pPr>
          </w:p>
        </w:tc>
        <w:tc>
          <w:tcPr>
            <w:tcW w:w="91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金额</w:t>
            </w:r>
          </w:p>
        </w:tc>
        <w:tc>
          <w:tcPr>
            <w:tcW w:w="65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比例</w:t>
            </w:r>
          </w:p>
        </w:tc>
        <w:tc>
          <w:tcPr>
            <w:tcW w:w="84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金额</w:t>
            </w:r>
          </w:p>
        </w:tc>
        <w:tc>
          <w:tcPr>
            <w:tcW w:w="8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计提比例</w:t>
            </w:r>
          </w:p>
        </w:tc>
        <w:tc>
          <w:tcPr>
            <w:tcW w:w="919"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sz w:val="15"/>
                <w:szCs w:val="15"/>
              </w:rPr>
            </w:pPr>
          </w:p>
        </w:tc>
      </w:tr>
      <w:tr w:rsidR="00A9288A">
        <w:trPr>
          <w:trHeight w:val="1026"/>
        </w:trPr>
        <w:tc>
          <w:tcPr>
            <w:tcW w:w="153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sz w:val="15"/>
                <w:szCs w:val="15"/>
              </w:rPr>
            </w:pPr>
            <w:r>
              <w:rPr>
                <w:rFonts w:hint="eastAsia"/>
                <w:sz w:val="15"/>
                <w:szCs w:val="15"/>
              </w:rPr>
              <w:t>按信用风险特征组合计提坏账准备的其他应收款</w:t>
            </w:r>
          </w:p>
        </w:tc>
        <w:tc>
          <w:tcPr>
            <w:tcW w:w="9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28,169,190.50</w:t>
            </w:r>
          </w:p>
        </w:tc>
        <w:tc>
          <w:tcPr>
            <w:tcW w:w="65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99.26%</w:t>
            </w:r>
          </w:p>
        </w:tc>
        <w:tc>
          <w:tcPr>
            <w:tcW w:w="84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1,855,908.70</w:t>
            </w:r>
          </w:p>
        </w:tc>
        <w:tc>
          <w:tcPr>
            <w:tcW w:w="6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6.59%</w:t>
            </w:r>
          </w:p>
        </w:tc>
        <w:tc>
          <w:tcPr>
            <w:tcW w:w="9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26,313,281.80</w:t>
            </w:r>
          </w:p>
        </w:tc>
        <w:tc>
          <w:tcPr>
            <w:tcW w:w="9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28,386,951.46</w:t>
            </w:r>
          </w:p>
        </w:tc>
        <w:tc>
          <w:tcPr>
            <w:tcW w:w="65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99.27%</w:t>
            </w:r>
          </w:p>
        </w:tc>
        <w:tc>
          <w:tcPr>
            <w:tcW w:w="84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4,056,743.06</w:t>
            </w:r>
          </w:p>
        </w:tc>
        <w:tc>
          <w:tcPr>
            <w:tcW w:w="8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14.29%</w:t>
            </w:r>
          </w:p>
        </w:tc>
        <w:tc>
          <w:tcPr>
            <w:tcW w:w="9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24,330,208.40</w:t>
            </w:r>
          </w:p>
        </w:tc>
      </w:tr>
      <w:tr w:rsidR="00A9288A">
        <w:trPr>
          <w:trHeight w:val="1014"/>
        </w:trPr>
        <w:tc>
          <w:tcPr>
            <w:tcW w:w="153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sz w:val="15"/>
                <w:szCs w:val="15"/>
              </w:rPr>
            </w:pPr>
            <w:r>
              <w:rPr>
                <w:rFonts w:hint="eastAsia"/>
                <w:sz w:val="15"/>
                <w:szCs w:val="15"/>
              </w:rPr>
              <w:t>单项金额不重大但单独计提坏账准备的其他应收款</w:t>
            </w:r>
          </w:p>
        </w:tc>
        <w:tc>
          <w:tcPr>
            <w:tcW w:w="9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208,880.00</w:t>
            </w:r>
          </w:p>
        </w:tc>
        <w:tc>
          <w:tcPr>
            <w:tcW w:w="65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0.74%</w:t>
            </w:r>
          </w:p>
        </w:tc>
        <w:tc>
          <w:tcPr>
            <w:tcW w:w="84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208,880.00</w:t>
            </w:r>
          </w:p>
        </w:tc>
        <w:tc>
          <w:tcPr>
            <w:tcW w:w="6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100.00%</w:t>
            </w:r>
          </w:p>
        </w:tc>
        <w:tc>
          <w:tcPr>
            <w:tcW w:w="9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sz w:val="15"/>
                <w:szCs w:val="15"/>
              </w:rPr>
            </w:pPr>
          </w:p>
        </w:tc>
        <w:tc>
          <w:tcPr>
            <w:tcW w:w="9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208,880.00</w:t>
            </w:r>
          </w:p>
        </w:tc>
        <w:tc>
          <w:tcPr>
            <w:tcW w:w="65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0.73%</w:t>
            </w:r>
          </w:p>
        </w:tc>
        <w:tc>
          <w:tcPr>
            <w:tcW w:w="84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208,880.00</w:t>
            </w:r>
          </w:p>
        </w:tc>
        <w:tc>
          <w:tcPr>
            <w:tcW w:w="8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100.00%</w:t>
            </w:r>
          </w:p>
        </w:tc>
        <w:tc>
          <w:tcPr>
            <w:tcW w:w="9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sz w:val="15"/>
                <w:szCs w:val="15"/>
              </w:rPr>
            </w:pPr>
          </w:p>
        </w:tc>
      </w:tr>
      <w:tr w:rsidR="00A9288A">
        <w:trPr>
          <w:trHeight w:val="712"/>
        </w:trPr>
        <w:tc>
          <w:tcPr>
            <w:tcW w:w="153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sz w:val="15"/>
                <w:szCs w:val="15"/>
              </w:rPr>
            </w:pPr>
            <w:r>
              <w:rPr>
                <w:rFonts w:hint="eastAsia"/>
                <w:sz w:val="15"/>
                <w:szCs w:val="15"/>
              </w:rPr>
              <w:t>合计</w:t>
            </w:r>
          </w:p>
        </w:tc>
        <w:tc>
          <w:tcPr>
            <w:tcW w:w="9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28,378,070.50</w:t>
            </w:r>
          </w:p>
        </w:tc>
        <w:tc>
          <w:tcPr>
            <w:tcW w:w="65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100.00%</w:t>
            </w:r>
          </w:p>
        </w:tc>
        <w:tc>
          <w:tcPr>
            <w:tcW w:w="84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2,064,788.70</w:t>
            </w:r>
          </w:p>
        </w:tc>
        <w:tc>
          <w:tcPr>
            <w:tcW w:w="65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7.28%</w:t>
            </w:r>
          </w:p>
        </w:tc>
        <w:tc>
          <w:tcPr>
            <w:tcW w:w="91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sz w:val="15"/>
                <w:szCs w:val="15"/>
              </w:rPr>
            </w:pPr>
            <w:r>
              <w:rPr>
                <w:rFonts w:cs="Times New Roman"/>
                <w:sz w:val="15"/>
                <w:szCs w:val="15"/>
              </w:rPr>
              <w:t>26,313,281.80</w:t>
            </w:r>
          </w:p>
        </w:tc>
        <w:tc>
          <w:tcPr>
            <w:tcW w:w="9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28,595,831.46</w:t>
            </w:r>
          </w:p>
        </w:tc>
        <w:tc>
          <w:tcPr>
            <w:tcW w:w="65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100.00%</w:t>
            </w:r>
          </w:p>
        </w:tc>
        <w:tc>
          <w:tcPr>
            <w:tcW w:w="84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4,265,623.06</w:t>
            </w:r>
          </w:p>
        </w:tc>
        <w:tc>
          <w:tcPr>
            <w:tcW w:w="8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14.91%</w:t>
            </w:r>
          </w:p>
        </w:tc>
        <w:tc>
          <w:tcPr>
            <w:tcW w:w="91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sz w:val="15"/>
                <w:szCs w:val="15"/>
              </w:rPr>
            </w:pPr>
            <w:r>
              <w:rPr>
                <w:rFonts w:cs="Times New Roman"/>
                <w:sz w:val="15"/>
                <w:szCs w:val="15"/>
              </w:rPr>
              <w:t>24,330,208.40</w:t>
            </w:r>
          </w:p>
        </w:tc>
      </w:tr>
    </w:tbl>
    <w:p w:rsidR="00A9288A" w:rsidRDefault="007A4434">
      <w:pPr>
        <w:jc w:val="left"/>
        <w:rPr>
          <w:rFonts w:eastAsia="Times New Roman" w:cs="Times New Roman"/>
        </w:rPr>
      </w:pPr>
      <w:r>
        <w:rPr>
          <w:rFonts w:hint="eastAsia"/>
        </w:rPr>
        <w:t>期末单项金额重大并单项计提坏账准备的其他应收款：</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组合中，按账龄分析法计提坏账准备的其他应收款：</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2391"/>
        <w:gridCol w:w="2393"/>
        <w:gridCol w:w="2392"/>
        <w:gridCol w:w="2392"/>
      </w:tblGrid>
      <w:tr w:rsidR="00A9288A">
        <w:tc>
          <w:tcPr>
            <w:tcW w:w="239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账龄</w:t>
            </w:r>
          </w:p>
        </w:tc>
        <w:tc>
          <w:tcPr>
            <w:tcW w:w="7177"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r>
      <w:tr w:rsidR="00A9288A">
        <w:tc>
          <w:tcPr>
            <w:tcW w:w="239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23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其他应收款</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坏账准备</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计提比例</w:t>
            </w:r>
          </w:p>
        </w:tc>
      </w:tr>
      <w:tr w:rsidR="00A9288A">
        <w:tc>
          <w:tcPr>
            <w:tcW w:w="9568"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年以内分项</w:t>
            </w:r>
          </w:p>
        </w:tc>
      </w:tr>
      <w:tr w:rsidR="00A9288A">
        <w:tc>
          <w:tcPr>
            <w:tcW w:w="239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年以内小计</w:t>
            </w:r>
          </w:p>
        </w:tc>
        <w:tc>
          <w:tcPr>
            <w:tcW w:w="23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9,464,785.96</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473,239.30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5.00%</w:t>
            </w:r>
          </w:p>
        </w:tc>
      </w:tr>
      <w:tr w:rsidR="00A9288A">
        <w:tc>
          <w:tcPr>
            <w:tcW w:w="239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至</w:t>
            </w:r>
            <w:r>
              <w:rPr>
                <w:rFonts w:cs="Times New Roman"/>
              </w:rPr>
              <w:t>2</w:t>
            </w:r>
            <w:r>
              <w:rPr>
                <w:rFonts w:hint="eastAsia"/>
              </w:rPr>
              <w:t>年</w:t>
            </w:r>
          </w:p>
        </w:tc>
        <w:tc>
          <w:tcPr>
            <w:tcW w:w="23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2,660,364.83</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266,036.49</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w:t>
            </w:r>
          </w:p>
        </w:tc>
      </w:tr>
      <w:tr w:rsidR="00A9288A">
        <w:tc>
          <w:tcPr>
            <w:tcW w:w="239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2</w:t>
            </w:r>
            <w:r>
              <w:rPr>
                <w:rFonts w:hint="eastAsia"/>
              </w:rPr>
              <w:t>至</w:t>
            </w:r>
            <w:r>
              <w:rPr>
                <w:rFonts w:cs="Times New Roman"/>
              </w:rPr>
              <w:t>3</w:t>
            </w:r>
            <w:r>
              <w:rPr>
                <w:rFonts w:hint="eastAsia"/>
              </w:rPr>
              <w:t>年</w:t>
            </w:r>
          </w:p>
        </w:tc>
        <w:tc>
          <w:tcPr>
            <w:tcW w:w="23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1,914,733.21</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574,419.97</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30.00%</w:t>
            </w:r>
          </w:p>
        </w:tc>
      </w:tr>
      <w:tr w:rsidR="00A9288A">
        <w:tc>
          <w:tcPr>
            <w:tcW w:w="239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3</w:t>
            </w:r>
            <w:r>
              <w:rPr>
                <w:rFonts w:hint="eastAsia"/>
              </w:rPr>
              <w:t>至</w:t>
            </w:r>
            <w:r>
              <w:rPr>
                <w:rFonts w:cs="Times New Roman"/>
              </w:rPr>
              <w:t>4</w:t>
            </w:r>
            <w:r>
              <w:rPr>
                <w:rFonts w:hint="eastAsia"/>
              </w:rPr>
              <w:t>年</w:t>
            </w:r>
          </w:p>
        </w:tc>
        <w:tc>
          <w:tcPr>
            <w:tcW w:w="23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422,172.28</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211,086.15</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50.00%</w:t>
            </w:r>
          </w:p>
        </w:tc>
      </w:tr>
      <w:tr w:rsidR="00A9288A">
        <w:tc>
          <w:tcPr>
            <w:tcW w:w="239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4</w:t>
            </w:r>
            <w:r>
              <w:rPr>
                <w:rFonts w:hint="eastAsia"/>
              </w:rPr>
              <w:t>至</w:t>
            </w:r>
            <w:r>
              <w:rPr>
                <w:rFonts w:cs="Times New Roman"/>
              </w:rPr>
              <w:t>5</w:t>
            </w:r>
            <w:r>
              <w:rPr>
                <w:rFonts w:hint="eastAsia"/>
              </w:rPr>
              <w:t>年</w:t>
            </w:r>
          </w:p>
        </w:tc>
        <w:tc>
          <w:tcPr>
            <w:tcW w:w="23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201,158.49</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160,926.79</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80.00%</w:t>
            </w:r>
          </w:p>
        </w:tc>
      </w:tr>
      <w:tr w:rsidR="00A9288A">
        <w:tc>
          <w:tcPr>
            <w:tcW w:w="239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5</w:t>
            </w:r>
            <w:r>
              <w:rPr>
                <w:rFonts w:hint="eastAsia"/>
              </w:rPr>
              <w:t>年以上</w:t>
            </w:r>
          </w:p>
        </w:tc>
        <w:tc>
          <w:tcPr>
            <w:tcW w:w="23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170,200.00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170,200.00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w:t>
            </w:r>
          </w:p>
        </w:tc>
      </w:tr>
      <w:tr w:rsidR="00A9288A">
        <w:tc>
          <w:tcPr>
            <w:tcW w:w="239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23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14,833,414.77</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1,855,908.70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bl>
    <w:p w:rsidR="00A9288A" w:rsidRDefault="007A4434">
      <w:pPr>
        <w:jc w:val="left"/>
        <w:rPr>
          <w:rFonts w:eastAsia="Times New Roman" w:cs="Times New Roman"/>
        </w:rPr>
      </w:pPr>
      <w:r>
        <w:rPr>
          <w:rFonts w:hint="eastAsia"/>
        </w:rPr>
        <w:t>确定该组合依据的说明：</w:t>
      </w:r>
    </w:p>
    <w:p w:rsidR="00A9288A" w:rsidRDefault="007A4434">
      <w:pPr>
        <w:jc w:val="left"/>
        <w:rPr>
          <w:rFonts w:eastAsia="Times New Roman" w:cs="Times New Roman"/>
        </w:rPr>
      </w:pPr>
      <w:r>
        <w:rPr>
          <w:rFonts w:hint="eastAsia"/>
        </w:rPr>
        <w:t>组合中，采用余额百分比法计提坏账准备的其他应收款：</w:t>
      </w:r>
    </w:p>
    <w:p w:rsidR="00A9288A" w:rsidRDefault="007A4434">
      <w:pPr>
        <w:jc w:val="left"/>
        <w:rPr>
          <w:rFonts w:cs="Times New Roman"/>
        </w:rPr>
      </w:pPr>
      <w:r>
        <w:rPr>
          <w:rFonts w:cs="Times New Roman"/>
        </w:rPr>
        <w:lastRenderedPageBreak/>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组合中，采用其他方法计提坏账准备的其他应收款：</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tbl>
      <w:tblPr>
        <w:tblW w:w="0" w:type="auto"/>
        <w:tblInd w:w="-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10" w:type="dxa"/>
          <w:left w:w="10" w:type="dxa"/>
          <w:bottom w:w="10" w:type="dxa"/>
          <w:right w:w="10" w:type="dxa"/>
        </w:tblCellMar>
        <w:tblLook w:val="0000" w:firstRow="0" w:lastRow="0" w:firstColumn="0" w:lastColumn="0" w:noHBand="0" w:noVBand="0"/>
      </w:tblPr>
      <w:tblGrid>
        <w:gridCol w:w="3188"/>
        <w:gridCol w:w="2968"/>
        <w:gridCol w:w="2140"/>
      </w:tblGrid>
      <w:tr w:rsidR="00A9288A">
        <w:tc>
          <w:tcPr>
            <w:tcW w:w="3188" w:type="dxa"/>
          </w:tcPr>
          <w:p w:rsidR="00A9288A" w:rsidRDefault="007A4434">
            <w:pPr>
              <w:autoSpaceDE w:val="0"/>
              <w:autoSpaceDN w:val="0"/>
              <w:adjustRightInd w:val="0"/>
              <w:spacing w:before="0" w:after="0"/>
              <w:jc w:val="center"/>
              <w:rPr>
                <w:rFonts w:eastAsia="Times New Roman" w:cs="Times New Roman"/>
                <w:b/>
                <w:bCs/>
                <w:kern w:val="0"/>
                <w:lang w:val="zh-CN"/>
              </w:rPr>
            </w:pPr>
            <w:r>
              <w:rPr>
                <w:rFonts w:ascii="宋体" w:hAnsi="宋体" w:hint="eastAsia"/>
                <w:b/>
                <w:bCs/>
                <w:kern w:val="0"/>
                <w:lang w:val="zh-CN"/>
              </w:rPr>
              <w:t>组合名称</w:t>
            </w:r>
          </w:p>
        </w:tc>
        <w:tc>
          <w:tcPr>
            <w:tcW w:w="2968" w:type="dxa"/>
          </w:tcPr>
          <w:p w:rsidR="00A9288A" w:rsidRDefault="007A4434">
            <w:pPr>
              <w:autoSpaceDE w:val="0"/>
              <w:autoSpaceDN w:val="0"/>
              <w:adjustRightInd w:val="0"/>
              <w:spacing w:before="0" w:after="0"/>
              <w:jc w:val="center"/>
              <w:rPr>
                <w:rFonts w:eastAsia="Times New Roman" w:cs="Times New Roman"/>
                <w:b/>
                <w:bCs/>
                <w:kern w:val="0"/>
                <w:lang w:val="zh-CN"/>
              </w:rPr>
            </w:pPr>
            <w:r>
              <w:rPr>
                <w:rFonts w:ascii="宋体" w:hAnsi="宋体" w:hint="eastAsia"/>
                <w:b/>
                <w:bCs/>
                <w:kern w:val="0"/>
                <w:lang w:val="zh-CN"/>
              </w:rPr>
              <w:t>期末余额</w:t>
            </w:r>
          </w:p>
        </w:tc>
        <w:tc>
          <w:tcPr>
            <w:tcW w:w="2140" w:type="dxa"/>
          </w:tcPr>
          <w:p w:rsidR="00A9288A" w:rsidRDefault="007A4434">
            <w:pPr>
              <w:autoSpaceDE w:val="0"/>
              <w:autoSpaceDN w:val="0"/>
              <w:adjustRightInd w:val="0"/>
              <w:spacing w:before="0" w:after="0"/>
              <w:jc w:val="center"/>
              <w:rPr>
                <w:rFonts w:eastAsia="Times New Roman" w:cs="Times New Roman"/>
                <w:b/>
                <w:bCs/>
                <w:kern w:val="0"/>
                <w:lang w:val="zh-CN"/>
              </w:rPr>
            </w:pPr>
            <w:r>
              <w:rPr>
                <w:rFonts w:ascii="宋体" w:hAnsi="宋体" w:hint="eastAsia"/>
                <w:b/>
                <w:bCs/>
                <w:kern w:val="0"/>
                <w:lang w:val="zh-CN"/>
              </w:rPr>
              <w:t>坏账金额</w:t>
            </w:r>
          </w:p>
        </w:tc>
      </w:tr>
      <w:tr w:rsidR="00A9288A">
        <w:tc>
          <w:tcPr>
            <w:tcW w:w="3188" w:type="dxa"/>
          </w:tcPr>
          <w:p w:rsidR="00A9288A" w:rsidRDefault="007A4434">
            <w:pPr>
              <w:autoSpaceDE w:val="0"/>
              <w:autoSpaceDN w:val="0"/>
              <w:adjustRightInd w:val="0"/>
              <w:spacing w:before="0" w:after="0"/>
              <w:rPr>
                <w:rFonts w:eastAsia="Times New Roman" w:cs="Times New Roman"/>
                <w:kern w:val="0"/>
                <w:lang w:val="zh-CN"/>
              </w:rPr>
            </w:pPr>
            <w:r>
              <w:rPr>
                <w:rFonts w:ascii="宋体" w:hAnsi="宋体" w:hint="eastAsia"/>
                <w:kern w:val="0"/>
                <w:lang w:val="zh-CN"/>
              </w:rPr>
              <w:t>与交易对象组合</w:t>
            </w:r>
          </w:p>
        </w:tc>
        <w:tc>
          <w:tcPr>
            <w:tcW w:w="2968"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lang w:val="en-GB"/>
              </w:rPr>
              <w:t>222,009.46</w:t>
            </w:r>
          </w:p>
        </w:tc>
        <w:tc>
          <w:tcPr>
            <w:tcW w:w="2140" w:type="dxa"/>
          </w:tcPr>
          <w:p w:rsidR="00A9288A" w:rsidRDefault="007A4434">
            <w:pPr>
              <w:autoSpaceDE w:val="0"/>
              <w:autoSpaceDN w:val="0"/>
              <w:adjustRightInd w:val="0"/>
              <w:spacing w:before="0" w:after="0"/>
              <w:jc w:val="right"/>
              <w:rPr>
                <w:rFonts w:eastAsia="Times New Roman" w:cs="Times New Roman"/>
                <w:kern w:val="0"/>
                <w:lang w:val="zh-CN"/>
              </w:rPr>
            </w:pPr>
            <w:r>
              <w:rPr>
                <w:rFonts w:ascii="宋体" w:hAnsi="宋体" w:hint="eastAsia"/>
                <w:kern w:val="0"/>
                <w:lang w:val="zh-CN"/>
              </w:rPr>
              <w:t xml:space="preserve">　</w:t>
            </w:r>
          </w:p>
        </w:tc>
      </w:tr>
      <w:tr w:rsidR="00A9288A">
        <w:tc>
          <w:tcPr>
            <w:tcW w:w="3188" w:type="dxa"/>
          </w:tcPr>
          <w:p w:rsidR="00A9288A" w:rsidRDefault="007A4434">
            <w:pPr>
              <w:autoSpaceDE w:val="0"/>
              <w:autoSpaceDN w:val="0"/>
              <w:adjustRightInd w:val="0"/>
              <w:spacing w:before="0" w:after="0"/>
              <w:rPr>
                <w:rFonts w:eastAsia="Times New Roman" w:cs="Times New Roman"/>
                <w:kern w:val="0"/>
                <w:lang w:val="zh-CN"/>
              </w:rPr>
            </w:pPr>
            <w:r>
              <w:rPr>
                <w:rFonts w:ascii="宋体" w:hAnsi="宋体" w:hint="eastAsia"/>
                <w:kern w:val="0"/>
                <w:lang w:val="zh-CN"/>
              </w:rPr>
              <w:t>款项性质组合</w:t>
            </w:r>
          </w:p>
        </w:tc>
        <w:tc>
          <w:tcPr>
            <w:tcW w:w="2968"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lang w:val="en-GB"/>
              </w:rPr>
              <w:t>13,113,766.27</w:t>
            </w:r>
          </w:p>
        </w:tc>
        <w:tc>
          <w:tcPr>
            <w:tcW w:w="2140" w:type="dxa"/>
          </w:tcPr>
          <w:p w:rsidR="00A9288A" w:rsidRDefault="00A9288A">
            <w:pPr>
              <w:autoSpaceDE w:val="0"/>
              <w:autoSpaceDN w:val="0"/>
              <w:adjustRightInd w:val="0"/>
              <w:spacing w:before="0" w:after="0"/>
              <w:jc w:val="right"/>
              <w:rPr>
                <w:rFonts w:eastAsia="Times New Roman" w:cs="Times New Roman"/>
                <w:kern w:val="0"/>
                <w:lang w:val="zh-CN"/>
              </w:rPr>
            </w:pPr>
          </w:p>
        </w:tc>
      </w:tr>
      <w:tr w:rsidR="00A9288A">
        <w:tc>
          <w:tcPr>
            <w:tcW w:w="3188" w:type="dxa"/>
          </w:tcPr>
          <w:p w:rsidR="00A9288A" w:rsidRDefault="007A4434">
            <w:pPr>
              <w:autoSpaceDE w:val="0"/>
              <w:autoSpaceDN w:val="0"/>
              <w:adjustRightInd w:val="0"/>
              <w:spacing w:before="0" w:after="0"/>
              <w:jc w:val="center"/>
              <w:rPr>
                <w:rFonts w:eastAsia="Times New Roman" w:cs="Times New Roman"/>
                <w:kern w:val="0"/>
                <w:lang w:val="zh-CN"/>
              </w:rPr>
            </w:pPr>
            <w:r>
              <w:rPr>
                <w:rFonts w:ascii="宋体" w:hAnsi="宋体" w:hint="eastAsia"/>
                <w:kern w:val="0"/>
                <w:u w:val="single"/>
                <w:lang w:val="zh-CN"/>
              </w:rPr>
              <w:t>合计</w:t>
            </w:r>
          </w:p>
        </w:tc>
        <w:tc>
          <w:tcPr>
            <w:tcW w:w="2968" w:type="dxa"/>
          </w:tcPr>
          <w:p w:rsidR="00A9288A" w:rsidRDefault="007A4434">
            <w:pPr>
              <w:autoSpaceDE w:val="0"/>
              <w:autoSpaceDN w:val="0"/>
              <w:adjustRightInd w:val="0"/>
              <w:spacing w:before="0" w:after="0"/>
              <w:jc w:val="right"/>
              <w:rPr>
                <w:rFonts w:eastAsia="Times New Roman" w:cs="Times New Roman"/>
                <w:kern w:val="0"/>
                <w:lang w:val="zh-CN"/>
              </w:rPr>
            </w:pPr>
            <w:r>
              <w:rPr>
                <w:rFonts w:eastAsia="Times New Roman" w:cs="Times New Roman"/>
                <w:kern w:val="0"/>
                <w:u w:val="single"/>
                <w:lang w:val="en-GB"/>
              </w:rPr>
              <w:t>13,335,775.73</w:t>
            </w:r>
          </w:p>
        </w:tc>
        <w:tc>
          <w:tcPr>
            <w:tcW w:w="2140" w:type="dxa"/>
          </w:tcPr>
          <w:p w:rsidR="00A9288A" w:rsidRDefault="00A9288A">
            <w:pPr>
              <w:autoSpaceDE w:val="0"/>
              <w:autoSpaceDN w:val="0"/>
              <w:adjustRightInd w:val="0"/>
              <w:spacing w:before="0" w:after="0"/>
              <w:jc w:val="right"/>
              <w:rPr>
                <w:rFonts w:eastAsia="Times New Roman" w:cs="Times New Roman"/>
                <w:kern w:val="0"/>
                <w:lang w:val="zh-CN"/>
              </w:rPr>
            </w:pPr>
          </w:p>
        </w:tc>
      </w:tr>
    </w:tbl>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）本期计提、收回或转回的坏账准备情况</w:t>
      </w:r>
    </w:p>
    <w:p w:rsidR="00A9288A" w:rsidRDefault="007A4434">
      <w:pPr>
        <w:jc w:val="left"/>
        <w:rPr>
          <w:rFonts w:eastAsia="Times New Roman" w:cs="Times New Roman"/>
        </w:rPr>
      </w:pPr>
      <w:r>
        <w:rPr>
          <w:rFonts w:hint="eastAsia"/>
        </w:rPr>
        <w:t>本期计提坏账准备金额</w:t>
      </w:r>
      <w:r>
        <w:rPr>
          <w:rFonts w:cs="Times New Roman"/>
        </w:rPr>
        <w:t>-2,032,162.95</w:t>
      </w:r>
      <w:r>
        <w:rPr>
          <w:rFonts w:hint="eastAsia"/>
        </w:rPr>
        <w:t>元；本期收回或转回坏账准备金额元。</w:t>
      </w:r>
    </w:p>
    <w:p w:rsidR="00A9288A" w:rsidRDefault="007A4434">
      <w:pPr>
        <w:jc w:val="left"/>
        <w:rPr>
          <w:rFonts w:eastAsia="Times New Roman" w:cs="Times New Roman"/>
        </w:rPr>
      </w:pPr>
      <w:r>
        <w:rPr>
          <w:rFonts w:hint="eastAsia"/>
        </w:rPr>
        <w:t>其中本期坏账准备转回或收回金额重要的：</w:t>
      </w:r>
    </w:p>
    <w:p w:rsidR="00A9288A" w:rsidRDefault="007A4434">
      <w:pPr>
        <w:pStyle w:val="Section"/>
        <w:outlineLvl w:val="3"/>
        <w:rPr>
          <w:rFonts w:eastAsia="Times New Roman" w:cs="Times New Roman"/>
        </w:rPr>
      </w:pPr>
      <w:r>
        <w:rPr>
          <w:rFonts w:hint="eastAsia"/>
        </w:rPr>
        <w:t>（</w:t>
      </w:r>
      <w:r>
        <w:rPr>
          <w:rFonts w:cs="Times New Roman"/>
        </w:rPr>
        <w:t>3</w:t>
      </w:r>
      <w:r>
        <w:rPr>
          <w:rFonts w:hint="eastAsia"/>
        </w:rPr>
        <w:t>）本期实际核销的其他应收款情况</w:t>
      </w:r>
    </w:p>
    <w:p w:rsidR="00A9288A" w:rsidRDefault="007A4434">
      <w:pPr>
        <w:pStyle w:val="Section"/>
        <w:outlineLvl w:val="3"/>
        <w:rPr>
          <w:rFonts w:eastAsia="Times New Roman" w:cs="Times New Roman"/>
        </w:rPr>
      </w:pPr>
      <w:r>
        <w:rPr>
          <w:rFonts w:hint="eastAsia"/>
        </w:rPr>
        <w:t>（</w:t>
      </w:r>
      <w:r>
        <w:rPr>
          <w:rFonts w:cs="Times New Roman"/>
        </w:rPr>
        <w:t>4</w:t>
      </w:r>
      <w:r>
        <w:rPr>
          <w:rFonts w:hint="eastAsia"/>
        </w:rPr>
        <w:t>）其他应收款按款项性质分类情况</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7"/>
        <w:gridCol w:w="3191"/>
        <w:gridCol w:w="3191"/>
      </w:tblGrid>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款项性质</w:t>
            </w:r>
          </w:p>
        </w:tc>
        <w:tc>
          <w:tcPr>
            <w:tcW w:w="319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期末账面余额</w:t>
            </w:r>
          </w:p>
        </w:tc>
        <w:tc>
          <w:tcPr>
            <w:tcW w:w="319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期初账面余额</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关联方往来款</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222,009.46</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应收理财产品利息</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4,161,213.89</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股权转让款</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6,600,000.00</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保证金</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12,590,626.66</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13,811,013.66</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押金</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1,498,245.12</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1,540,788.83</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备用金</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7,046,647.10</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3,686,749.95</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代扣代缴社保</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134,807.71</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59,446.57</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其他</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2,724,520.56</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2,897,832.45</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91"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28,378,070.50</w:t>
            </w:r>
          </w:p>
        </w:tc>
        <w:tc>
          <w:tcPr>
            <w:tcW w:w="3191"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28,595,831.46</w:t>
            </w:r>
          </w:p>
        </w:tc>
      </w:tr>
    </w:tbl>
    <w:p w:rsidR="00A9288A" w:rsidRDefault="007A4434">
      <w:pPr>
        <w:pStyle w:val="Section"/>
        <w:outlineLvl w:val="3"/>
        <w:rPr>
          <w:rFonts w:eastAsia="Times New Roman" w:cs="Times New Roman"/>
        </w:rPr>
      </w:pPr>
      <w:r>
        <w:rPr>
          <w:rFonts w:hint="eastAsia"/>
        </w:rPr>
        <w:t>（</w:t>
      </w:r>
      <w:r>
        <w:rPr>
          <w:rFonts w:cs="Times New Roman"/>
        </w:rPr>
        <w:t>5</w:t>
      </w:r>
      <w:r>
        <w:rPr>
          <w:rFonts w:hint="eastAsia"/>
        </w:rPr>
        <w:t>）按欠款方归集的期末余额前五名的其他应收款情况</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594"/>
        <w:gridCol w:w="1594"/>
        <w:gridCol w:w="1594"/>
        <w:gridCol w:w="1594"/>
        <w:gridCol w:w="1595"/>
        <w:gridCol w:w="1595"/>
      </w:tblGrid>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单位名称</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款项的性质</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账龄</w:t>
            </w:r>
          </w:p>
        </w:tc>
        <w:tc>
          <w:tcPr>
            <w:tcW w:w="159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占其他应收款期末余额合计数的比例</w:t>
            </w:r>
          </w:p>
        </w:tc>
        <w:tc>
          <w:tcPr>
            <w:tcW w:w="159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坏账准备期末余额</w:t>
            </w: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上海浦东发展银行</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应收利息</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3,452,088.89</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1</w:t>
            </w:r>
            <w:r>
              <w:rPr>
                <w:rFonts w:hint="eastAsia"/>
              </w:rPr>
              <w:t>年以内</w:t>
            </w:r>
          </w:p>
        </w:tc>
        <w:tc>
          <w:tcPr>
            <w:tcW w:w="15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12.16%</w:t>
            </w:r>
          </w:p>
        </w:tc>
        <w:tc>
          <w:tcPr>
            <w:tcW w:w="15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国家海洋局第三海洋研究所</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履约保证金</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2,974,854.25</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1</w:t>
            </w:r>
            <w:r>
              <w:rPr>
                <w:rFonts w:hint="eastAsia"/>
              </w:rPr>
              <w:t>年以内</w:t>
            </w:r>
            <w:r>
              <w:rPr>
                <w:rFonts w:cs="Times New Roman"/>
              </w:rPr>
              <w:t>1,728,155.15</w:t>
            </w:r>
            <w:r>
              <w:rPr>
                <w:rFonts w:hint="eastAsia"/>
              </w:rPr>
              <w:t>元，</w:t>
            </w:r>
            <w:r>
              <w:rPr>
                <w:rFonts w:cs="Times New Roman"/>
              </w:rPr>
              <w:t>1-2</w:t>
            </w:r>
            <w:r>
              <w:rPr>
                <w:rFonts w:hint="eastAsia"/>
              </w:rPr>
              <w:t>年</w:t>
            </w:r>
            <w:r>
              <w:rPr>
                <w:rFonts w:cs="Times New Roman"/>
              </w:rPr>
              <w:t>169,315.00</w:t>
            </w:r>
            <w:r>
              <w:rPr>
                <w:rFonts w:hint="eastAsia"/>
              </w:rPr>
              <w:t>元，</w:t>
            </w:r>
            <w:r>
              <w:rPr>
                <w:rFonts w:cs="Times New Roman"/>
              </w:rPr>
              <w:t>2-3</w:t>
            </w:r>
            <w:r>
              <w:rPr>
                <w:rFonts w:hint="eastAsia"/>
              </w:rPr>
              <w:t>年</w:t>
            </w:r>
            <w:r>
              <w:rPr>
                <w:rFonts w:cs="Times New Roman"/>
              </w:rPr>
              <w:t>1,040,185.35</w:t>
            </w:r>
            <w:r>
              <w:rPr>
                <w:rFonts w:hint="eastAsia"/>
              </w:rPr>
              <w:lastRenderedPageBreak/>
              <w:t>元，</w:t>
            </w:r>
            <w:r>
              <w:rPr>
                <w:rFonts w:cs="Times New Roman"/>
              </w:rPr>
              <w:t>3-4</w:t>
            </w:r>
            <w:r>
              <w:rPr>
                <w:rFonts w:hint="eastAsia"/>
              </w:rPr>
              <w:t>年</w:t>
            </w:r>
            <w:r>
              <w:rPr>
                <w:rFonts w:cs="Times New Roman"/>
              </w:rPr>
              <w:t>37,198.75</w:t>
            </w:r>
            <w:r>
              <w:rPr>
                <w:rFonts w:hint="eastAsia"/>
              </w:rPr>
              <w:t>元</w:t>
            </w:r>
          </w:p>
        </w:tc>
        <w:tc>
          <w:tcPr>
            <w:tcW w:w="15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lastRenderedPageBreak/>
              <w:t>10.48%</w:t>
            </w:r>
          </w:p>
        </w:tc>
        <w:tc>
          <w:tcPr>
            <w:tcW w:w="15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433,994.24</w:t>
            </w: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lastRenderedPageBreak/>
              <w:t>山东省海洋与渔业监督监察总队</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保证金</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1,154,678.00</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1</w:t>
            </w:r>
            <w:r>
              <w:rPr>
                <w:rFonts w:hint="eastAsia"/>
              </w:rPr>
              <w:t>年以内</w:t>
            </w:r>
            <w:r>
              <w:rPr>
                <w:rFonts w:cs="Times New Roman"/>
              </w:rPr>
              <w:t>637,118.80</w:t>
            </w:r>
            <w:r>
              <w:rPr>
                <w:rFonts w:hint="eastAsia"/>
              </w:rPr>
              <w:t>元，</w:t>
            </w:r>
            <w:r>
              <w:rPr>
                <w:rFonts w:cs="Times New Roman"/>
              </w:rPr>
              <w:t>1-2</w:t>
            </w:r>
            <w:r>
              <w:rPr>
                <w:rFonts w:hint="eastAsia"/>
              </w:rPr>
              <w:t>年</w:t>
            </w:r>
            <w:r>
              <w:rPr>
                <w:rFonts w:cs="Times New Roman"/>
              </w:rPr>
              <w:t>517,559.20</w:t>
            </w:r>
            <w:r>
              <w:rPr>
                <w:rFonts w:hint="eastAsia"/>
              </w:rPr>
              <w:t>元</w:t>
            </w:r>
          </w:p>
        </w:tc>
        <w:tc>
          <w:tcPr>
            <w:tcW w:w="15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4.07%</w:t>
            </w:r>
          </w:p>
        </w:tc>
        <w:tc>
          <w:tcPr>
            <w:tcW w:w="15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83,611.86</w:t>
            </w: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北京柏豪置业有限公司</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押金</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732,555.00</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1</w:t>
            </w:r>
            <w:r>
              <w:rPr>
                <w:rFonts w:hint="eastAsia"/>
              </w:rPr>
              <w:t>年以内</w:t>
            </w:r>
          </w:p>
        </w:tc>
        <w:tc>
          <w:tcPr>
            <w:tcW w:w="15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2.58%</w:t>
            </w:r>
          </w:p>
        </w:tc>
        <w:tc>
          <w:tcPr>
            <w:tcW w:w="15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36,627.75</w:t>
            </w: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上海竟闻信息科技有限公司</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投标保证金</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690,700.00</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1</w:t>
            </w:r>
            <w:r>
              <w:rPr>
                <w:rFonts w:hint="eastAsia"/>
              </w:rPr>
              <w:t>年以内</w:t>
            </w:r>
          </w:p>
        </w:tc>
        <w:tc>
          <w:tcPr>
            <w:tcW w:w="15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2.43%</w:t>
            </w:r>
          </w:p>
        </w:tc>
        <w:tc>
          <w:tcPr>
            <w:tcW w:w="15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34,535.00</w:t>
            </w: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9,004,876.14</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15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31.72%</w:t>
            </w:r>
          </w:p>
        </w:tc>
        <w:tc>
          <w:tcPr>
            <w:tcW w:w="15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588,768.85</w:t>
            </w:r>
          </w:p>
        </w:tc>
      </w:tr>
    </w:tbl>
    <w:p w:rsidR="00A9288A" w:rsidRDefault="007A4434">
      <w:pPr>
        <w:pStyle w:val="Section"/>
        <w:outlineLvl w:val="3"/>
        <w:rPr>
          <w:rFonts w:eastAsia="Times New Roman" w:cs="Times New Roman"/>
        </w:rPr>
      </w:pPr>
      <w:r>
        <w:rPr>
          <w:rFonts w:hint="eastAsia"/>
        </w:rPr>
        <w:t>（</w:t>
      </w:r>
      <w:r>
        <w:rPr>
          <w:rFonts w:cs="Times New Roman"/>
        </w:rPr>
        <w:t>6</w:t>
      </w:r>
      <w:r>
        <w:rPr>
          <w:rFonts w:hint="eastAsia"/>
        </w:rPr>
        <w:t>）涉及政府补助的应收款项</w:t>
      </w:r>
    </w:p>
    <w:p w:rsidR="00A9288A" w:rsidRDefault="007A4434">
      <w:pPr>
        <w:pStyle w:val="Section"/>
        <w:outlineLvl w:val="3"/>
        <w:rPr>
          <w:rFonts w:eastAsia="Times New Roman" w:cs="Times New Roman"/>
        </w:rPr>
      </w:pPr>
      <w:r>
        <w:rPr>
          <w:rFonts w:hint="eastAsia"/>
        </w:rPr>
        <w:t>（</w:t>
      </w:r>
      <w:r>
        <w:rPr>
          <w:rFonts w:cs="Times New Roman"/>
        </w:rPr>
        <w:t>7</w:t>
      </w:r>
      <w:r>
        <w:rPr>
          <w:rFonts w:hint="eastAsia"/>
        </w:rPr>
        <w:t>）因金融资产转移而终止确认的其他应收款</w:t>
      </w:r>
    </w:p>
    <w:p w:rsidR="00A9288A" w:rsidRDefault="007A4434">
      <w:pPr>
        <w:pStyle w:val="Section"/>
        <w:outlineLvl w:val="3"/>
        <w:rPr>
          <w:rFonts w:eastAsia="Times New Roman" w:cs="Times New Roman"/>
        </w:rPr>
      </w:pPr>
      <w:r>
        <w:rPr>
          <w:rFonts w:hint="eastAsia"/>
        </w:rPr>
        <w:t>（</w:t>
      </w:r>
      <w:r>
        <w:rPr>
          <w:rFonts w:cs="Times New Roman"/>
        </w:rPr>
        <w:t>8</w:t>
      </w:r>
      <w:r>
        <w:rPr>
          <w:rFonts w:hint="eastAsia"/>
        </w:rPr>
        <w:t>）转移其他应收款且继续涉入形成的资产、负债金额</w:t>
      </w:r>
    </w:p>
    <w:p w:rsidR="00A9288A" w:rsidRDefault="007A4434">
      <w:pPr>
        <w:pStyle w:val="Section"/>
        <w:outlineLvl w:val="2"/>
        <w:rPr>
          <w:rFonts w:eastAsia="Times New Roman" w:cs="Times New Roman"/>
        </w:rPr>
      </w:pPr>
      <w:r>
        <w:rPr>
          <w:rFonts w:cs="Times New Roman"/>
        </w:rPr>
        <w:t>10</w:t>
      </w:r>
      <w:r>
        <w:rPr>
          <w:rFonts w:hint="eastAsia"/>
        </w:rPr>
        <w:t>、存货</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）存货分类</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368"/>
        <w:gridCol w:w="1368"/>
        <w:gridCol w:w="1367"/>
        <w:gridCol w:w="1367"/>
        <w:gridCol w:w="1367"/>
        <w:gridCol w:w="1367"/>
        <w:gridCol w:w="1367"/>
      </w:tblGrid>
      <w:tr w:rsidR="00A9288A">
        <w:tc>
          <w:tcPr>
            <w:tcW w:w="1368"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4102"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4101"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r>
      <w:tr w:rsidR="00A9288A">
        <w:tc>
          <w:tcPr>
            <w:tcW w:w="1368"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账面余额</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跌价准备</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账面价值</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账面余额</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跌价准备</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账面价值</w:t>
            </w:r>
          </w:p>
        </w:tc>
      </w:tr>
      <w:tr w:rsidR="00A9288A">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原材料</w:t>
            </w:r>
          </w:p>
        </w:tc>
        <w:tc>
          <w:tcPr>
            <w:tcW w:w="13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47,283,816.72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348,047.36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46,935,769.36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44,038,709.59</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348,047.36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43,690,662.23</w:t>
            </w:r>
          </w:p>
        </w:tc>
      </w:tr>
      <w:tr w:rsidR="00A9288A">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在产品</w:t>
            </w:r>
          </w:p>
        </w:tc>
        <w:tc>
          <w:tcPr>
            <w:tcW w:w="13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25,094,804.31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25,094,804.31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25,989,024.56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25,989,024.56</w:t>
            </w:r>
          </w:p>
        </w:tc>
      </w:tr>
      <w:tr w:rsidR="00A9288A">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库存商品</w:t>
            </w:r>
          </w:p>
        </w:tc>
        <w:tc>
          <w:tcPr>
            <w:tcW w:w="13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99,139,386.47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85,498.65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99,053,887.82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94,113,134.35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85,498.65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94,027,635.70</w:t>
            </w:r>
          </w:p>
        </w:tc>
      </w:tr>
      <w:tr w:rsidR="00A9288A">
        <w:tc>
          <w:tcPr>
            <w:tcW w:w="13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发出商品</w:t>
            </w:r>
          </w:p>
        </w:tc>
        <w:tc>
          <w:tcPr>
            <w:tcW w:w="13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11,962,046.98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11,962,046.98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2,795,396.10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2,795,396.10</w:t>
            </w:r>
          </w:p>
        </w:tc>
      </w:tr>
      <w:tr w:rsidR="00A9288A">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13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183,480,054.48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433,546.01</w:t>
            </w:r>
          </w:p>
        </w:tc>
        <w:tc>
          <w:tcPr>
            <w:tcW w:w="1367"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183,046,508.47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166,936,264.60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433,546.01</w:t>
            </w:r>
          </w:p>
        </w:tc>
        <w:tc>
          <w:tcPr>
            <w:tcW w:w="1367"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166,502,718.59</w:t>
            </w:r>
          </w:p>
        </w:tc>
      </w:tr>
    </w:tbl>
    <w:p w:rsidR="00A9288A" w:rsidRDefault="007A4434">
      <w:pPr>
        <w:jc w:val="left"/>
        <w:rPr>
          <w:rFonts w:eastAsia="Times New Roman" w:cs="Times New Roman"/>
        </w:rPr>
      </w:pPr>
      <w:r>
        <w:rPr>
          <w:rFonts w:hint="eastAsia"/>
        </w:rPr>
        <w:t>公司是否需遵守《深圳证券交易所行业信息披露指引第</w:t>
      </w:r>
      <w:r>
        <w:rPr>
          <w:rFonts w:cs="Times New Roman"/>
        </w:rPr>
        <w:t>4</w:t>
      </w:r>
      <w:r>
        <w:rPr>
          <w:rFonts w:hint="eastAsia"/>
        </w:rPr>
        <w:t>号</w:t>
      </w:r>
      <w:r>
        <w:rPr>
          <w:rFonts w:cs="Times New Roman"/>
        </w:rPr>
        <w:t>—</w:t>
      </w:r>
      <w:r>
        <w:rPr>
          <w:rFonts w:hint="eastAsia"/>
        </w:rPr>
        <w:t>上市公司从事种业、种植业务》的披露要求</w:t>
      </w:r>
    </w:p>
    <w:p w:rsidR="00A9288A" w:rsidRDefault="007A4434">
      <w:pPr>
        <w:jc w:val="left"/>
        <w:rPr>
          <w:rFonts w:eastAsia="Times New Roman" w:cs="Times New Roman"/>
        </w:rPr>
      </w:pPr>
      <w:r>
        <w:rPr>
          <w:rFonts w:hint="eastAsia"/>
        </w:rPr>
        <w:t>否</w:t>
      </w:r>
    </w:p>
    <w:p w:rsidR="00A9288A" w:rsidRDefault="007A4434">
      <w:pPr>
        <w:jc w:val="left"/>
        <w:rPr>
          <w:rFonts w:eastAsia="Times New Roman" w:cs="Times New Roman"/>
        </w:rPr>
      </w:pPr>
      <w:r>
        <w:rPr>
          <w:rFonts w:hint="eastAsia"/>
        </w:rPr>
        <w:t>公司是否需遵守《深圳证券交易所创业板行业信息披露指引第</w:t>
      </w:r>
      <w:r>
        <w:rPr>
          <w:rFonts w:cs="Times New Roman"/>
        </w:rPr>
        <w:t>1</w:t>
      </w:r>
      <w:r>
        <w:rPr>
          <w:rFonts w:hint="eastAsia"/>
        </w:rPr>
        <w:t>号</w:t>
      </w:r>
      <w:r>
        <w:rPr>
          <w:rFonts w:cs="Times New Roman"/>
        </w:rPr>
        <w:t>——</w:t>
      </w:r>
      <w:r>
        <w:rPr>
          <w:rFonts w:hint="eastAsia"/>
        </w:rPr>
        <w:t>上市公司从事广播电影电视业务》的披露要求</w:t>
      </w:r>
    </w:p>
    <w:p w:rsidR="00A9288A" w:rsidRDefault="007A4434">
      <w:pPr>
        <w:jc w:val="left"/>
        <w:rPr>
          <w:rFonts w:eastAsia="Times New Roman" w:cs="Times New Roman"/>
        </w:rPr>
      </w:pPr>
      <w:r>
        <w:rPr>
          <w:rFonts w:hint="eastAsia"/>
        </w:rPr>
        <w:t>否</w:t>
      </w:r>
    </w:p>
    <w:p w:rsidR="00A9288A" w:rsidRDefault="007A4434">
      <w:pPr>
        <w:jc w:val="left"/>
        <w:rPr>
          <w:rFonts w:eastAsia="Times New Roman" w:cs="Times New Roman"/>
        </w:rPr>
      </w:pPr>
      <w:r>
        <w:rPr>
          <w:rFonts w:hint="eastAsia"/>
        </w:rPr>
        <w:t>公司是否需遵守《深圳证券交易所创业板行业信息披露指引第</w:t>
      </w:r>
      <w:r>
        <w:rPr>
          <w:rFonts w:cs="Times New Roman"/>
        </w:rPr>
        <w:t>5</w:t>
      </w:r>
      <w:r>
        <w:rPr>
          <w:rFonts w:hint="eastAsia"/>
        </w:rPr>
        <w:t>号</w:t>
      </w:r>
      <w:r>
        <w:rPr>
          <w:rFonts w:cs="Times New Roman"/>
        </w:rPr>
        <w:t>——</w:t>
      </w:r>
      <w:r>
        <w:rPr>
          <w:rFonts w:hint="eastAsia"/>
        </w:rPr>
        <w:t>上市公司从事互联网游戏业务》的披露要求</w:t>
      </w:r>
    </w:p>
    <w:p w:rsidR="00A9288A" w:rsidRDefault="007A4434">
      <w:pPr>
        <w:jc w:val="left"/>
        <w:rPr>
          <w:rFonts w:eastAsia="Times New Roman" w:cs="Times New Roman"/>
        </w:rPr>
      </w:pPr>
      <w:r>
        <w:rPr>
          <w:rFonts w:hint="eastAsia"/>
        </w:rPr>
        <w:t>否</w:t>
      </w: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）存货跌价准备</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368"/>
        <w:gridCol w:w="1368"/>
        <w:gridCol w:w="1367"/>
        <w:gridCol w:w="1367"/>
        <w:gridCol w:w="1367"/>
        <w:gridCol w:w="1367"/>
        <w:gridCol w:w="1367"/>
      </w:tblGrid>
      <w:tr w:rsidR="00A9288A">
        <w:tc>
          <w:tcPr>
            <w:tcW w:w="1368"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1368"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c>
          <w:tcPr>
            <w:tcW w:w="2734"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本期增加金额</w:t>
            </w:r>
          </w:p>
        </w:tc>
        <w:tc>
          <w:tcPr>
            <w:tcW w:w="2734"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本期减少金额</w:t>
            </w:r>
          </w:p>
        </w:tc>
        <w:tc>
          <w:tcPr>
            <w:tcW w:w="1367"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r>
      <w:tr w:rsidR="00A9288A">
        <w:tc>
          <w:tcPr>
            <w:tcW w:w="1368"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368"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计提</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其他</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转回或转销</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其他</w:t>
            </w:r>
          </w:p>
        </w:tc>
        <w:tc>
          <w:tcPr>
            <w:tcW w:w="1367"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r>
      <w:tr w:rsidR="00A9288A">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原材料</w:t>
            </w:r>
          </w:p>
        </w:tc>
        <w:tc>
          <w:tcPr>
            <w:tcW w:w="13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348,047.36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348,047.36</w:t>
            </w:r>
          </w:p>
        </w:tc>
      </w:tr>
      <w:tr w:rsidR="00A9288A">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库存商品</w:t>
            </w:r>
          </w:p>
        </w:tc>
        <w:tc>
          <w:tcPr>
            <w:tcW w:w="13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85,498.65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85,498.65</w:t>
            </w:r>
          </w:p>
        </w:tc>
      </w:tr>
      <w:tr w:rsidR="00A9288A">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13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433,546.01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433,546.01</w:t>
            </w:r>
          </w:p>
        </w:tc>
      </w:tr>
    </w:tbl>
    <w:p w:rsidR="00A9288A" w:rsidRDefault="007A4434">
      <w:pPr>
        <w:pStyle w:val="Section"/>
        <w:outlineLvl w:val="3"/>
        <w:rPr>
          <w:rFonts w:eastAsia="Times New Roman" w:cs="Times New Roman"/>
        </w:rPr>
      </w:pPr>
      <w:r>
        <w:rPr>
          <w:rFonts w:hint="eastAsia"/>
        </w:rPr>
        <w:t>（</w:t>
      </w:r>
      <w:r>
        <w:rPr>
          <w:rFonts w:cs="Times New Roman"/>
        </w:rPr>
        <w:t>3</w:t>
      </w:r>
      <w:r>
        <w:rPr>
          <w:rFonts w:hint="eastAsia"/>
        </w:rPr>
        <w:t>）存货期末余额含有借款费用资本化金额的说明</w:t>
      </w:r>
    </w:p>
    <w:p w:rsidR="00A9288A" w:rsidRDefault="007A4434">
      <w:pPr>
        <w:pStyle w:val="Section"/>
        <w:outlineLvl w:val="3"/>
        <w:rPr>
          <w:rFonts w:eastAsia="Times New Roman" w:cs="Times New Roman"/>
        </w:rPr>
      </w:pPr>
      <w:r>
        <w:rPr>
          <w:rFonts w:hint="eastAsia"/>
        </w:rPr>
        <w:t>（</w:t>
      </w:r>
      <w:r>
        <w:rPr>
          <w:rFonts w:cs="Times New Roman"/>
        </w:rPr>
        <w:t>4</w:t>
      </w:r>
      <w:r>
        <w:rPr>
          <w:rFonts w:hint="eastAsia"/>
        </w:rPr>
        <w:t>）期末建造合同形成的已完工未结算资产情况</w:t>
      </w:r>
    </w:p>
    <w:p w:rsidR="00A9288A" w:rsidRDefault="007A4434">
      <w:pPr>
        <w:pStyle w:val="Section"/>
        <w:outlineLvl w:val="2"/>
        <w:rPr>
          <w:rFonts w:eastAsia="Times New Roman" w:cs="Times New Roman"/>
        </w:rPr>
      </w:pPr>
      <w:r>
        <w:rPr>
          <w:rFonts w:cs="Times New Roman"/>
        </w:rPr>
        <w:t>11</w:t>
      </w:r>
      <w:r>
        <w:rPr>
          <w:rFonts w:hint="eastAsia"/>
        </w:rPr>
        <w:t>、持有待售的资产</w:t>
      </w:r>
    </w:p>
    <w:p w:rsidR="00A9288A" w:rsidRDefault="007A4434">
      <w:pPr>
        <w:pStyle w:val="Section"/>
        <w:outlineLvl w:val="2"/>
        <w:rPr>
          <w:rFonts w:eastAsia="Times New Roman" w:cs="Times New Roman"/>
        </w:rPr>
      </w:pPr>
      <w:r>
        <w:rPr>
          <w:rFonts w:cs="Times New Roman"/>
        </w:rPr>
        <w:t>12</w:t>
      </w:r>
      <w:r>
        <w:rPr>
          <w:rFonts w:hint="eastAsia"/>
        </w:rPr>
        <w:t>、一年内到期的非流动资产</w:t>
      </w:r>
    </w:p>
    <w:p w:rsidR="00A9288A" w:rsidRDefault="007A4434">
      <w:pPr>
        <w:pStyle w:val="Section"/>
        <w:outlineLvl w:val="2"/>
        <w:rPr>
          <w:rFonts w:eastAsia="Times New Roman" w:cs="Times New Roman"/>
        </w:rPr>
      </w:pPr>
      <w:r>
        <w:rPr>
          <w:rFonts w:cs="Times New Roman"/>
        </w:rPr>
        <w:t>13</w:t>
      </w:r>
      <w:r>
        <w:rPr>
          <w:rFonts w:hint="eastAsia"/>
        </w:rPr>
        <w:t>、其他流动资产</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7"/>
        <w:gridCol w:w="3191"/>
        <w:gridCol w:w="3191"/>
      </w:tblGrid>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19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319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理财产品</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38,500,000.00</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77,480,000.00</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待抵扣增值税</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1,312,465.58</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1,449,103.26</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房租及物业费</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39,644.03</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575,475.54</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预缴企业所得税</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306,180.43</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其他</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2,528,781.60</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756,278.27</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91"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42,687,071.64</w:t>
            </w:r>
          </w:p>
        </w:tc>
        <w:tc>
          <w:tcPr>
            <w:tcW w:w="3191"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80,260,857.07</w:t>
            </w:r>
          </w:p>
        </w:tc>
      </w:tr>
    </w:tbl>
    <w:p w:rsidR="00A9288A" w:rsidRDefault="007A4434">
      <w:pPr>
        <w:pStyle w:val="Section"/>
        <w:outlineLvl w:val="2"/>
        <w:rPr>
          <w:rFonts w:eastAsia="Times New Roman" w:cs="Times New Roman"/>
        </w:rPr>
      </w:pPr>
      <w:r>
        <w:rPr>
          <w:rFonts w:cs="Times New Roman"/>
        </w:rPr>
        <w:t>14</w:t>
      </w:r>
      <w:r>
        <w:rPr>
          <w:rFonts w:hint="eastAsia"/>
        </w:rPr>
        <w:t>、可供出售金融资产</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）可供出售金融资产情况</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2000"/>
        <w:gridCol w:w="1195"/>
        <w:gridCol w:w="1196"/>
        <w:gridCol w:w="1196"/>
        <w:gridCol w:w="1248"/>
        <w:gridCol w:w="1367"/>
        <w:gridCol w:w="1367"/>
      </w:tblGrid>
      <w:tr w:rsidR="00A9288A">
        <w:tc>
          <w:tcPr>
            <w:tcW w:w="2000"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587"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3982"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r>
      <w:tr w:rsidR="00A9288A">
        <w:tc>
          <w:tcPr>
            <w:tcW w:w="2000"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19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账面余额</w:t>
            </w:r>
          </w:p>
        </w:tc>
        <w:tc>
          <w:tcPr>
            <w:tcW w:w="119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减值准备</w:t>
            </w:r>
          </w:p>
        </w:tc>
        <w:tc>
          <w:tcPr>
            <w:tcW w:w="119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账面价值</w:t>
            </w:r>
          </w:p>
        </w:tc>
        <w:tc>
          <w:tcPr>
            <w:tcW w:w="124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账面余额</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减值准备</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账面价值</w:t>
            </w:r>
          </w:p>
        </w:tc>
      </w:tr>
      <w:tr w:rsidR="00A9288A">
        <w:tc>
          <w:tcPr>
            <w:tcW w:w="20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可供出售权益工具：</w:t>
            </w:r>
          </w:p>
        </w:tc>
        <w:tc>
          <w:tcPr>
            <w:tcW w:w="11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10,000,000.00</w:t>
            </w:r>
          </w:p>
        </w:tc>
        <w:tc>
          <w:tcPr>
            <w:tcW w:w="11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10,000,000.00</w:t>
            </w:r>
          </w:p>
        </w:tc>
        <w:tc>
          <w:tcPr>
            <w:tcW w:w="124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10,000,000.00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10,000,000.00</w:t>
            </w:r>
          </w:p>
        </w:tc>
      </w:tr>
      <w:tr w:rsidR="00A9288A">
        <w:tc>
          <w:tcPr>
            <w:tcW w:w="20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按成本计量的</w:t>
            </w:r>
          </w:p>
        </w:tc>
        <w:tc>
          <w:tcPr>
            <w:tcW w:w="11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10,000,000.00</w:t>
            </w:r>
          </w:p>
        </w:tc>
        <w:tc>
          <w:tcPr>
            <w:tcW w:w="11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10,000,000.00</w:t>
            </w:r>
          </w:p>
        </w:tc>
        <w:tc>
          <w:tcPr>
            <w:tcW w:w="124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10,000,000.00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10,000,000.00</w:t>
            </w:r>
          </w:p>
        </w:tc>
      </w:tr>
      <w:tr w:rsidR="00A9288A">
        <w:tc>
          <w:tcPr>
            <w:tcW w:w="20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11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10,000,000.00</w:t>
            </w:r>
          </w:p>
        </w:tc>
        <w:tc>
          <w:tcPr>
            <w:tcW w:w="11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96"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10,000,000.00</w:t>
            </w:r>
          </w:p>
        </w:tc>
        <w:tc>
          <w:tcPr>
            <w:tcW w:w="124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10,000,000.00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10,000,000.00</w:t>
            </w:r>
          </w:p>
        </w:tc>
      </w:tr>
    </w:tbl>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）期末按公允价值计量的可供出售金融资产</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914"/>
        <w:gridCol w:w="1914"/>
        <w:gridCol w:w="1914"/>
        <w:gridCol w:w="1914"/>
        <w:gridCol w:w="1914"/>
      </w:tblGrid>
      <w:tr w:rsidR="00A9288A">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可供出售金融资产分类</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可供出售权益工具</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可供出售债务工具</w:t>
            </w:r>
          </w:p>
        </w:tc>
        <w:tc>
          <w:tcPr>
            <w:tcW w:w="1914"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A9288A">
            <w:pPr>
              <w:jc w:val="center"/>
              <w:rPr>
                <w:rFonts w:eastAsia="Times New Roman" w:cs="Times New Roman"/>
              </w:rPr>
            </w:pP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合计</w:t>
            </w:r>
          </w:p>
        </w:tc>
      </w:tr>
    </w:tbl>
    <w:p w:rsidR="00A9288A" w:rsidRDefault="007A4434">
      <w:pPr>
        <w:pStyle w:val="Section"/>
        <w:outlineLvl w:val="3"/>
        <w:rPr>
          <w:rFonts w:eastAsia="Times New Roman" w:cs="Times New Roman"/>
        </w:rPr>
      </w:pPr>
      <w:r>
        <w:rPr>
          <w:rFonts w:hint="eastAsia"/>
        </w:rPr>
        <w:lastRenderedPageBreak/>
        <w:t>（</w:t>
      </w:r>
      <w:r>
        <w:rPr>
          <w:rFonts w:cs="Times New Roman"/>
        </w:rPr>
        <w:t>3</w:t>
      </w:r>
      <w:r>
        <w:rPr>
          <w:rFonts w:hint="eastAsia"/>
        </w:rPr>
        <w:t>）期末按成本计量的可供出售金融资产</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33" w:type="dxa"/>
        <w:tblLayout w:type="fixed"/>
        <w:tblCellMar>
          <w:left w:w="28" w:type="dxa"/>
          <w:right w:w="28" w:type="dxa"/>
        </w:tblCellMar>
        <w:tblLook w:val="0000" w:firstRow="0" w:lastRow="0" w:firstColumn="0" w:lastColumn="0" w:noHBand="0" w:noVBand="0"/>
      </w:tblPr>
      <w:tblGrid>
        <w:gridCol w:w="827"/>
        <w:gridCol w:w="1091"/>
        <w:gridCol w:w="835"/>
        <w:gridCol w:w="836"/>
        <w:gridCol w:w="1091"/>
        <w:gridCol w:w="836"/>
        <w:gridCol w:w="836"/>
        <w:gridCol w:w="836"/>
        <w:gridCol w:w="836"/>
        <w:gridCol w:w="836"/>
        <w:gridCol w:w="834"/>
      </w:tblGrid>
      <w:tr w:rsidR="00A9288A">
        <w:tc>
          <w:tcPr>
            <w:tcW w:w="827"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被投资单位</w:t>
            </w:r>
          </w:p>
        </w:tc>
        <w:tc>
          <w:tcPr>
            <w:tcW w:w="3853"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账面余额</w:t>
            </w:r>
          </w:p>
        </w:tc>
        <w:tc>
          <w:tcPr>
            <w:tcW w:w="3344"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减值准备</w:t>
            </w:r>
          </w:p>
        </w:tc>
        <w:tc>
          <w:tcPr>
            <w:tcW w:w="836"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在被投资单位持股比例</w:t>
            </w:r>
          </w:p>
        </w:tc>
        <w:tc>
          <w:tcPr>
            <w:tcW w:w="834"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本期现金红利</w:t>
            </w:r>
          </w:p>
        </w:tc>
      </w:tr>
      <w:tr w:rsidR="00A9288A">
        <w:tc>
          <w:tcPr>
            <w:tcW w:w="827"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w:t>
            </w:r>
          </w:p>
        </w:tc>
        <w:tc>
          <w:tcPr>
            <w:tcW w:w="8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本期增加</w:t>
            </w:r>
          </w:p>
        </w:tc>
        <w:tc>
          <w:tcPr>
            <w:tcW w:w="83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本期减少</w:t>
            </w:r>
          </w:p>
        </w:tc>
        <w:tc>
          <w:tcPr>
            <w:tcW w:w="109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w:t>
            </w:r>
          </w:p>
        </w:tc>
        <w:tc>
          <w:tcPr>
            <w:tcW w:w="83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w:t>
            </w:r>
          </w:p>
        </w:tc>
        <w:tc>
          <w:tcPr>
            <w:tcW w:w="83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本期增加</w:t>
            </w:r>
          </w:p>
        </w:tc>
        <w:tc>
          <w:tcPr>
            <w:tcW w:w="83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本期减少</w:t>
            </w:r>
          </w:p>
        </w:tc>
        <w:tc>
          <w:tcPr>
            <w:tcW w:w="83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w:t>
            </w:r>
          </w:p>
        </w:tc>
        <w:tc>
          <w:tcPr>
            <w:tcW w:w="836"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834"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r>
      <w:tr w:rsidR="00A9288A">
        <w:tc>
          <w:tcPr>
            <w:tcW w:w="82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北京创金兴业投资中心（有限合伙）</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10,000,000.00</w:t>
            </w:r>
          </w:p>
        </w:tc>
        <w:tc>
          <w:tcPr>
            <w:tcW w:w="8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10,000,000.00</w:t>
            </w:r>
          </w:p>
        </w:tc>
        <w:tc>
          <w:tcPr>
            <w:tcW w:w="8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1.92%</w:t>
            </w:r>
          </w:p>
        </w:tc>
        <w:tc>
          <w:tcPr>
            <w:tcW w:w="83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8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10,000,000.00</w:t>
            </w:r>
          </w:p>
        </w:tc>
        <w:tc>
          <w:tcPr>
            <w:tcW w:w="8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10,000,000.00</w:t>
            </w:r>
          </w:p>
        </w:tc>
        <w:tc>
          <w:tcPr>
            <w:tcW w:w="8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3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83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bl>
    <w:p w:rsidR="00A9288A" w:rsidRDefault="007A4434">
      <w:pPr>
        <w:pStyle w:val="Section"/>
        <w:outlineLvl w:val="3"/>
        <w:rPr>
          <w:rFonts w:eastAsia="Times New Roman" w:cs="Times New Roman"/>
        </w:rPr>
      </w:pPr>
      <w:r>
        <w:rPr>
          <w:rFonts w:hint="eastAsia"/>
        </w:rPr>
        <w:t>（</w:t>
      </w:r>
      <w:r>
        <w:rPr>
          <w:rFonts w:cs="Times New Roman"/>
        </w:rPr>
        <w:t>4</w:t>
      </w:r>
      <w:r>
        <w:rPr>
          <w:rFonts w:hint="eastAsia"/>
        </w:rPr>
        <w:t>）报告期内可供出售金融资产减值的变动情况</w:t>
      </w:r>
    </w:p>
    <w:p w:rsidR="00A9288A" w:rsidRDefault="007A4434">
      <w:pPr>
        <w:pStyle w:val="Section"/>
        <w:outlineLvl w:val="3"/>
        <w:rPr>
          <w:rFonts w:eastAsia="Times New Roman" w:cs="Times New Roman"/>
        </w:rPr>
      </w:pPr>
      <w:r>
        <w:rPr>
          <w:rFonts w:hint="eastAsia"/>
        </w:rPr>
        <w:t>（</w:t>
      </w:r>
      <w:r>
        <w:rPr>
          <w:rFonts w:cs="Times New Roman"/>
        </w:rPr>
        <w:t>5</w:t>
      </w:r>
      <w:r>
        <w:rPr>
          <w:rFonts w:hint="eastAsia"/>
        </w:rPr>
        <w:t>）可供出售权益工具期末公允价值严重下跌或非暂时性下跌但未计提减值准备的相关说明</w:t>
      </w:r>
    </w:p>
    <w:p w:rsidR="00A9288A" w:rsidRDefault="007A4434">
      <w:pPr>
        <w:jc w:val="left"/>
        <w:rPr>
          <w:rFonts w:eastAsia="Times New Roman" w:cs="Times New Roman"/>
        </w:rPr>
      </w:pPr>
      <w:r>
        <w:rPr>
          <w:rFonts w:hint="eastAsia"/>
        </w:rPr>
        <w:t>其他说明</w:t>
      </w:r>
    </w:p>
    <w:p w:rsidR="00A9288A" w:rsidRDefault="007A4434">
      <w:pPr>
        <w:autoSpaceDE w:val="0"/>
        <w:autoSpaceDN w:val="0"/>
        <w:adjustRightInd w:val="0"/>
        <w:spacing w:before="0" w:after="120"/>
        <w:ind w:firstLine="420"/>
        <w:jc w:val="left"/>
        <w:rPr>
          <w:rFonts w:eastAsia="Times New Roman" w:cs="Times New Roman"/>
          <w:kern w:val="0"/>
          <w:sz w:val="21"/>
          <w:szCs w:val="21"/>
          <w:lang w:val="zh-CN"/>
        </w:rPr>
      </w:pPr>
      <w:r>
        <w:rPr>
          <w:rFonts w:ascii="宋体" w:hAnsi="宋体" w:hint="eastAsia"/>
          <w:kern w:val="0"/>
          <w:sz w:val="21"/>
          <w:szCs w:val="21"/>
          <w:lang w:val="zh-CN"/>
        </w:rPr>
        <w:t>注：本公司于</w:t>
      </w:r>
      <w:r>
        <w:rPr>
          <w:rFonts w:eastAsia="Times New Roman" w:cs="Times New Roman"/>
          <w:kern w:val="0"/>
          <w:sz w:val="21"/>
          <w:szCs w:val="21"/>
          <w:lang w:val="zh-CN"/>
        </w:rPr>
        <w:t>2015</w:t>
      </w:r>
      <w:r>
        <w:rPr>
          <w:rFonts w:ascii="宋体" w:hAnsi="宋体" w:hint="eastAsia"/>
          <w:kern w:val="0"/>
          <w:sz w:val="21"/>
          <w:szCs w:val="21"/>
          <w:lang w:val="zh-CN"/>
        </w:rPr>
        <w:t>年</w:t>
      </w:r>
      <w:r>
        <w:rPr>
          <w:rFonts w:eastAsia="Times New Roman" w:cs="Times New Roman"/>
          <w:kern w:val="0"/>
          <w:sz w:val="21"/>
          <w:szCs w:val="21"/>
          <w:lang w:val="zh-CN"/>
        </w:rPr>
        <w:t>3</w:t>
      </w:r>
      <w:r>
        <w:rPr>
          <w:rFonts w:ascii="宋体" w:hAnsi="宋体" w:hint="eastAsia"/>
          <w:kern w:val="0"/>
          <w:sz w:val="21"/>
          <w:szCs w:val="21"/>
          <w:lang w:val="zh-CN"/>
        </w:rPr>
        <w:t>月签署《北京创金兴业投资中心（有限合伙）之有限合伙合同》，对北京创金兴业投资中心（有限合伙）投资共</w:t>
      </w:r>
      <w:r>
        <w:rPr>
          <w:rFonts w:eastAsia="Times New Roman" w:cs="Times New Roman"/>
          <w:kern w:val="0"/>
          <w:sz w:val="21"/>
          <w:szCs w:val="21"/>
          <w:lang w:val="zh-CN"/>
        </w:rPr>
        <w:t>1,000</w:t>
      </w:r>
      <w:r>
        <w:rPr>
          <w:rFonts w:ascii="宋体" w:hAnsi="宋体" w:hint="eastAsia"/>
          <w:kern w:val="0"/>
          <w:sz w:val="21"/>
          <w:szCs w:val="21"/>
          <w:lang w:val="zh-CN"/>
        </w:rPr>
        <w:t>万元。截至</w:t>
      </w:r>
      <w:r>
        <w:rPr>
          <w:rFonts w:eastAsia="Times New Roman" w:cs="Times New Roman"/>
          <w:kern w:val="0"/>
          <w:sz w:val="21"/>
          <w:szCs w:val="21"/>
          <w:lang w:val="zh-CN"/>
        </w:rPr>
        <w:t>2016</w:t>
      </w:r>
      <w:r>
        <w:rPr>
          <w:rFonts w:ascii="宋体" w:hAnsi="宋体" w:hint="eastAsia"/>
          <w:kern w:val="0"/>
          <w:sz w:val="21"/>
          <w:szCs w:val="21"/>
          <w:lang w:val="zh-CN"/>
        </w:rPr>
        <w:t>年</w:t>
      </w:r>
      <w:r>
        <w:rPr>
          <w:rFonts w:eastAsia="Times New Roman" w:cs="Times New Roman"/>
          <w:kern w:val="0"/>
          <w:sz w:val="21"/>
          <w:szCs w:val="21"/>
          <w:lang w:val="zh-CN"/>
        </w:rPr>
        <w:t>12</w:t>
      </w:r>
      <w:r>
        <w:rPr>
          <w:rFonts w:ascii="宋体" w:hAnsi="宋体" w:hint="eastAsia"/>
          <w:kern w:val="0"/>
          <w:sz w:val="21"/>
          <w:szCs w:val="21"/>
          <w:lang w:val="zh-CN"/>
        </w:rPr>
        <w:t>月</w:t>
      </w:r>
      <w:r>
        <w:rPr>
          <w:rFonts w:eastAsia="Times New Roman" w:cs="Times New Roman"/>
          <w:kern w:val="0"/>
          <w:sz w:val="21"/>
          <w:szCs w:val="21"/>
          <w:lang w:val="zh-CN"/>
        </w:rPr>
        <w:t>31</w:t>
      </w:r>
      <w:r>
        <w:rPr>
          <w:rFonts w:ascii="宋体" w:hAnsi="宋体" w:hint="eastAsia"/>
          <w:kern w:val="0"/>
          <w:sz w:val="21"/>
          <w:szCs w:val="21"/>
          <w:lang w:val="zh-CN"/>
        </w:rPr>
        <w:t>日，本公司已支付投资款</w:t>
      </w:r>
      <w:r>
        <w:rPr>
          <w:rFonts w:eastAsia="Times New Roman" w:cs="Times New Roman"/>
          <w:kern w:val="0"/>
          <w:sz w:val="21"/>
          <w:szCs w:val="21"/>
          <w:lang w:val="zh-CN"/>
        </w:rPr>
        <w:t>1,000</w:t>
      </w:r>
      <w:r>
        <w:rPr>
          <w:rFonts w:ascii="宋体" w:hAnsi="宋体" w:hint="eastAsia"/>
          <w:kern w:val="0"/>
          <w:sz w:val="21"/>
          <w:szCs w:val="21"/>
          <w:lang w:val="zh-CN"/>
        </w:rPr>
        <w:t>万元，持股比例为</w:t>
      </w:r>
      <w:r>
        <w:rPr>
          <w:rFonts w:eastAsia="Times New Roman" w:cs="Times New Roman"/>
          <w:kern w:val="0"/>
          <w:sz w:val="21"/>
          <w:szCs w:val="21"/>
          <w:lang w:val="zh-CN"/>
        </w:rPr>
        <w:t>1.92%</w:t>
      </w:r>
      <w:r>
        <w:rPr>
          <w:rFonts w:ascii="宋体" w:hAnsi="宋体" w:hint="eastAsia"/>
          <w:kern w:val="0"/>
          <w:sz w:val="21"/>
          <w:szCs w:val="21"/>
          <w:lang w:val="zh-CN"/>
        </w:rPr>
        <w:t>。北京创金兴业投资中心（有限合伙）企业经营范围为投资管理，资产管理。</w:t>
      </w:r>
    </w:p>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2"/>
        <w:rPr>
          <w:rFonts w:eastAsia="Times New Roman" w:cs="Times New Roman"/>
        </w:rPr>
      </w:pPr>
      <w:r>
        <w:rPr>
          <w:rFonts w:cs="Times New Roman"/>
        </w:rPr>
        <w:t>15</w:t>
      </w:r>
      <w:r>
        <w:rPr>
          <w:rFonts w:hint="eastAsia"/>
        </w:rPr>
        <w:t>、持有至到期投资</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）持有至到期投资情况</w:t>
      </w: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）期末重要的持有至到期投资</w:t>
      </w:r>
    </w:p>
    <w:p w:rsidR="00A9288A" w:rsidRDefault="007A4434">
      <w:pPr>
        <w:pStyle w:val="Section"/>
        <w:outlineLvl w:val="3"/>
        <w:rPr>
          <w:rFonts w:eastAsia="Times New Roman" w:cs="Times New Roman"/>
        </w:rPr>
      </w:pPr>
      <w:r>
        <w:rPr>
          <w:rFonts w:hint="eastAsia"/>
        </w:rPr>
        <w:t>（</w:t>
      </w:r>
      <w:r>
        <w:rPr>
          <w:rFonts w:cs="Times New Roman"/>
        </w:rPr>
        <w:t>3</w:t>
      </w:r>
      <w:r>
        <w:rPr>
          <w:rFonts w:hint="eastAsia"/>
        </w:rPr>
        <w:t>）本期重分类的持有至到期投资</w:t>
      </w:r>
    </w:p>
    <w:p w:rsidR="00A9288A" w:rsidRDefault="007A4434">
      <w:pPr>
        <w:pStyle w:val="Section"/>
        <w:outlineLvl w:val="2"/>
        <w:rPr>
          <w:rFonts w:eastAsia="Times New Roman" w:cs="Times New Roman"/>
        </w:rPr>
      </w:pPr>
      <w:r>
        <w:rPr>
          <w:rFonts w:cs="Times New Roman"/>
        </w:rPr>
        <w:t>16</w:t>
      </w:r>
      <w:r>
        <w:rPr>
          <w:rFonts w:hint="eastAsia"/>
        </w:rPr>
        <w:t>、长期应收款</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）长期应收款情况</w:t>
      </w: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）因金融资产转移而终止确认的长期应收款</w:t>
      </w:r>
    </w:p>
    <w:p w:rsidR="00A9288A" w:rsidRDefault="007A4434">
      <w:pPr>
        <w:pStyle w:val="Section"/>
        <w:outlineLvl w:val="3"/>
        <w:rPr>
          <w:rFonts w:eastAsia="Times New Roman" w:cs="Times New Roman"/>
        </w:rPr>
      </w:pPr>
      <w:r>
        <w:rPr>
          <w:rFonts w:hint="eastAsia"/>
        </w:rPr>
        <w:t>（</w:t>
      </w:r>
      <w:r>
        <w:rPr>
          <w:rFonts w:cs="Times New Roman"/>
        </w:rPr>
        <w:t>3</w:t>
      </w:r>
      <w:r>
        <w:rPr>
          <w:rFonts w:hint="eastAsia"/>
        </w:rPr>
        <w:t>）转移长期应收款且继续涉入形成的资产、负债金额</w:t>
      </w:r>
    </w:p>
    <w:p w:rsidR="00A9288A" w:rsidRDefault="007A4434">
      <w:pPr>
        <w:jc w:val="left"/>
        <w:rPr>
          <w:rFonts w:eastAsia="Times New Roman" w:cs="Times New Roman"/>
        </w:rPr>
      </w:pPr>
      <w:r>
        <w:rPr>
          <w:rFonts w:hint="eastAsia"/>
        </w:rPr>
        <w:t>其他说明</w:t>
      </w:r>
    </w:p>
    <w:p w:rsidR="00A9288A" w:rsidRDefault="007A4434">
      <w:pPr>
        <w:pStyle w:val="Section"/>
        <w:outlineLvl w:val="2"/>
        <w:rPr>
          <w:rFonts w:eastAsia="Times New Roman" w:cs="Times New Roman"/>
        </w:rPr>
      </w:pPr>
      <w:r>
        <w:rPr>
          <w:rFonts w:cs="Times New Roman"/>
        </w:rPr>
        <w:t>17</w:t>
      </w:r>
      <w:r>
        <w:rPr>
          <w:rFonts w:hint="eastAsia"/>
        </w:rPr>
        <w:t>、长期股权投资</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33" w:type="dxa"/>
        <w:tblLayout w:type="fixed"/>
        <w:tblCellMar>
          <w:left w:w="28" w:type="dxa"/>
          <w:right w:w="28" w:type="dxa"/>
        </w:tblCellMar>
        <w:tblLook w:val="0000" w:firstRow="0" w:lastRow="0" w:firstColumn="0" w:lastColumn="0" w:noHBand="0" w:noVBand="0"/>
      </w:tblPr>
      <w:tblGrid>
        <w:gridCol w:w="674"/>
        <w:gridCol w:w="1091"/>
        <w:gridCol w:w="674"/>
        <w:gridCol w:w="860"/>
        <w:gridCol w:w="1061"/>
        <w:gridCol w:w="866"/>
        <w:gridCol w:w="675"/>
        <w:gridCol w:w="675"/>
        <w:gridCol w:w="676"/>
        <w:gridCol w:w="676"/>
        <w:gridCol w:w="1091"/>
        <w:gridCol w:w="675"/>
      </w:tblGrid>
      <w:tr w:rsidR="00A9288A">
        <w:tc>
          <w:tcPr>
            <w:tcW w:w="674"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lastRenderedPageBreak/>
              <w:t>被投资单位</w:t>
            </w:r>
          </w:p>
        </w:tc>
        <w:tc>
          <w:tcPr>
            <w:tcW w:w="109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c>
          <w:tcPr>
            <w:tcW w:w="6163" w:type="dxa"/>
            <w:gridSpan w:val="8"/>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本期增减变动</w:t>
            </w:r>
          </w:p>
        </w:tc>
        <w:tc>
          <w:tcPr>
            <w:tcW w:w="109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675"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减值准备期末余额</w:t>
            </w:r>
          </w:p>
        </w:tc>
      </w:tr>
      <w:tr w:rsidR="00A9288A">
        <w:tc>
          <w:tcPr>
            <w:tcW w:w="674"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09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67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追加投资</w:t>
            </w:r>
          </w:p>
        </w:tc>
        <w:tc>
          <w:tcPr>
            <w:tcW w:w="86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减少投资</w:t>
            </w:r>
          </w:p>
        </w:tc>
        <w:tc>
          <w:tcPr>
            <w:tcW w:w="106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权益法下确认的投资损益</w:t>
            </w:r>
          </w:p>
        </w:tc>
        <w:tc>
          <w:tcPr>
            <w:tcW w:w="8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其他综合收益调整</w:t>
            </w:r>
          </w:p>
        </w:tc>
        <w:tc>
          <w:tcPr>
            <w:tcW w:w="67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其他权益变动</w:t>
            </w:r>
          </w:p>
        </w:tc>
        <w:tc>
          <w:tcPr>
            <w:tcW w:w="67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宣告发放现金股利或利润</w:t>
            </w:r>
          </w:p>
        </w:tc>
        <w:tc>
          <w:tcPr>
            <w:tcW w:w="67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计提减值准备</w:t>
            </w:r>
          </w:p>
        </w:tc>
        <w:tc>
          <w:tcPr>
            <w:tcW w:w="67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其他</w:t>
            </w:r>
          </w:p>
        </w:tc>
        <w:tc>
          <w:tcPr>
            <w:tcW w:w="109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675"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r>
      <w:tr w:rsidR="00A9288A">
        <w:tc>
          <w:tcPr>
            <w:tcW w:w="9694" w:type="dxa"/>
            <w:gridSpan w:val="1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一、合营企业</w:t>
            </w:r>
          </w:p>
        </w:tc>
      </w:tr>
      <w:tr w:rsidR="00A9288A">
        <w:tc>
          <w:tcPr>
            <w:tcW w:w="9694" w:type="dxa"/>
            <w:gridSpan w:val="1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二、联营企业</w:t>
            </w:r>
          </w:p>
        </w:tc>
      </w:tr>
      <w:tr w:rsidR="00A9288A">
        <w:tc>
          <w:tcPr>
            <w:tcW w:w="67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浙江海兰信海洋信息科技有限公司</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19,750,789.54</w:t>
            </w:r>
          </w:p>
        </w:tc>
        <w:tc>
          <w:tcPr>
            <w:tcW w:w="67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6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-388,141.74</w:t>
            </w:r>
          </w:p>
        </w:tc>
        <w:tc>
          <w:tcPr>
            <w:tcW w:w="8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19,362,647.80</w:t>
            </w:r>
          </w:p>
        </w:tc>
        <w:tc>
          <w:tcPr>
            <w:tcW w:w="67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67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杭州边界电子技术有限公司</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10,406,217.99</w:t>
            </w:r>
          </w:p>
        </w:tc>
        <w:tc>
          <w:tcPr>
            <w:tcW w:w="67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6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-226,004.35</w:t>
            </w:r>
          </w:p>
        </w:tc>
        <w:tc>
          <w:tcPr>
            <w:tcW w:w="8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10,180,213.64</w:t>
            </w:r>
          </w:p>
        </w:tc>
        <w:tc>
          <w:tcPr>
            <w:tcW w:w="67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67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北京蓝鲸众合投资管理有限公司</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2,018,382.78</w:t>
            </w:r>
          </w:p>
        </w:tc>
        <w:tc>
          <w:tcPr>
            <w:tcW w:w="67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6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-128,225.31</w:t>
            </w:r>
          </w:p>
        </w:tc>
        <w:tc>
          <w:tcPr>
            <w:tcW w:w="8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1,890,157.47</w:t>
            </w:r>
          </w:p>
        </w:tc>
        <w:tc>
          <w:tcPr>
            <w:tcW w:w="67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67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江苏海兰信海洋工程技术开发有限公司</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27,733,823.21</w:t>
            </w:r>
          </w:p>
        </w:tc>
        <w:tc>
          <w:tcPr>
            <w:tcW w:w="67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6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-448,151.93</w:t>
            </w:r>
          </w:p>
        </w:tc>
        <w:tc>
          <w:tcPr>
            <w:tcW w:w="8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176,041.15</w:t>
            </w:r>
          </w:p>
        </w:tc>
        <w:tc>
          <w:tcPr>
            <w:tcW w:w="67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27,461,712.43</w:t>
            </w:r>
          </w:p>
        </w:tc>
        <w:tc>
          <w:tcPr>
            <w:tcW w:w="67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67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武汉劳雷绿湾船舶科技有限公司</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12,219,358.85</w:t>
            </w:r>
          </w:p>
        </w:tc>
        <w:tc>
          <w:tcPr>
            <w:tcW w:w="67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6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-1,075,159.76</w:t>
            </w:r>
          </w:p>
        </w:tc>
        <w:tc>
          <w:tcPr>
            <w:tcW w:w="8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11,144,199.09</w:t>
            </w:r>
          </w:p>
        </w:tc>
        <w:tc>
          <w:tcPr>
            <w:tcW w:w="67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67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北京蓝图海洋信息技术有限公司</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189,641.43</w:t>
            </w:r>
          </w:p>
        </w:tc>
        <w:tc>
          <w:tcPr>
            <w:tcW w:w="67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6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-189,641.43</w:t>
            </w:r>
          </w:p>
        </w:tc>
        <w:tc>
          <w:tcPr>
            <w:tcW w:w="8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67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广东海兰图环境技术研究有</w:t>
            </w:r>
            <w:r>
              <w:rPr>
                <w:rFonts w:hint="eastAsia"/>
              </w:rPr>
              <w:lastRenderedPageBreak/>
              <w:t>限公司</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lastRenderedPageBreak/>
              <w:t>511,874.61</w:t>
            </w:r>
          </w:p>
        </w:tc>
        <w:tc>
          <w:tcPr>
            <w:tcW w:w="67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6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511,874.61</w:t>
            </w: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67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lastRenderedPageBreak/>
              <w:t>小计</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72,830,088.41</w:t>
            </w:r>
          </w:p>
        </w:tc>
        <w:tc>
          <w:tcPr>
            <w:tcW w:w="67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6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511,874.61</w:t>
            </w: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-2,455,324.52</w:t>
            </w:r>
          </w:p>
        </w:tc>
        <w:tc>
          <w:tcPr>
            <w:tcW w:w="8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176,041.15</w:t>
            </w:r>
          </w:p>
        </w:tc>
        <w:tc>
          <w:tcPr>
            <w:tcW w:w="67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70,038,930.43</w:t>
            </w:r>
          </w:p>
        </w:tc>
        <w:tc>
          <w:tcPr>
            <w:tcW w:w="67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67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72,830,088.41</w:t>
            </w:r>
          </w:p>
        </w:tc>
        <w:tc>
          <w:tcPr>
            <w:tcW w:w="67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86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511,874.61</w:t>
            </w: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-2,455,324.52</w:t>
            </w:r>
          </w:p>
        </w:tc>
        <w:tc>
          <w:tcPr>
            <w:tcW w:w="8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176,041.15</w:t>
            </w:r>
          </w:p>
        </w:tc>
        <w:tc>
          <w:tcPr>
            <w:tcW w:w="67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67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70,038,930.43</w:t>
            </w:r>
          </w:p>
        </w:tc>
        <w:tc>
          <w:tcPr>
            <w:tcW w:w="67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bl>
    <w:p w:rsidR="00A9288A" w:rsidRDefault="007A4434">
      <w:pPr>
        <w:jc w:val="left"/>
        <w:rPr>
          <w:rFonts w:eastAsia="Times New Roman" w:cs="Times New Roman"/>
        </w:rPr>
      </w:pPr>
      <w:r>
        <w:rPr>
          <w:rFonts w:hint="eastAsia"/>
        </w:rPr>
        <w:t>其他说明</w:t>
      </w:r>
    </w:p>
    <w:p w:rsidR="00A9288A" w:rsidRDefault="007A4434">
      <w:pPr>
        <w:pStyle w:val="Section"/>
        <w:outlineLvl w:val="2"/>
        <w:rPr>
          <w:rFonts w:eastAsia="Times New Roman" w:cs="Times New Roman"/>
        </w:rPr>
      </w:pPr>
      <w:r>
        <w:rPr>
          <w:rFonts w:cs="Times New Roman"/>
        </w:rPr>
        <w:t>18</w:t>
      </w:r>
      <w:r>
        <w:rPr>
          <w:rFonts w:hint="eastAsia"/>
        </w:rPr>
        <w:t>、投资性房地产</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）采用成本计量模式的投资性房地产</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）采用公允价值计量模式的投资性房地产</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Section"/>
        <w:outlineLvl w:val="3"/>
        <w:rPr>
          <w:rFonts w:eastAsia="Times New Roman" w:cs="Times New Roman"/>
        </w:rPr>
      </w:pPr>
      <w:r>
        <w:rPr>
          <w:rFonts w:hint="eastAsia"/>
        </w:rPr>
        <w:t>（</w:t>
      </w:r>
      <w:r>
        <w:rPr>
          <w:rFonts w:cs="Times New Roman"/>
        </w:rPr>
        <w:t>3</w:t>
      </w:r>
      <w:r>
        <w:rPr>
          <w:rFonts w:hint="eastAsia"/>
        </w:rPr>
        <w:t>）未办妥产权证书的投资性房地产情况</w:t>
      </w:r>
    </w:p>
    <w:p w:rsidR="00A9288A" w:rsidRDefault="007A4434">
      <w:pPr>
        <w:pStyle w:val="Section"/>
        <w:outlineLvl w:val="2"/>
        <w:rPr>
          <w:rFonts w:eastAsia="Times New Roman" w:cs="Times New Roman"/>
        </w:rPr>
      </w:pPr>
      <w:r>
        <w:rPr>
          <w:rFonts w:cs="Times New Roman"/>
        </w:rPr>
        <w:t>19</w:t>
      </w:r>
      <w:r>
        <w:rPr>
          <w:rFonts w:hint="eastAsia"/>
        </w:rPr>
        <w:t>、固定资产</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）固定资产情况</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594"/>
        <w:gridCol w:w="1594"/>
        <w:gridCol w:w="1594"/>
        <w:gridCol w:w="1594"/>
        <w:gridCol w:w="1594"/>
        <w:gridCol w:w="1594"/>
      </w:tblGrid>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1594"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center"/>
              <w:rPr>
                <w:rFonts w:eastAsia="Times New Roman" w:cs="Times New Roman"/>
              </w:rPr>
            </w:pPr>
            <w:r>
              <w:rPr>
                <w:rFonts w:hint="eastAsia"/>
              </w:rPr>
              <w:t>房屋及建筑物</w:t>
            </w:r>
          </w:p>
        </w:tc>
        <w:tc>
          <w:tcPr>
            <w:tcW w:w="1594"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center"/>
              <w:rPr>
                <w:rFonts w:eastAsia="Times New Roman" w:cs="Times New Roman"/>
              </w:rPr>
            </w:pPr>
            <w:r>
              <w:rPr>
                <w:rFonts w:hint="eastAsia"/>
              </w:rPr>
              <w:t>机器设备</w:t>
            </w:r>
          </w:p>
        </w:tc>
        <w:tc>
          <w:tcPr>
            <w:tcW w:w="1594"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center"/>
              <w:rPr>
                <w:rFonts w:eastAsia="Times New Roman" w:cs="Times New Roman"/>
              </w:rPr>
            </w:pPr>
            <w:r>
              <w:rPr>
                <w:rFonts w:hint="eastAsia"/>
              </w:rPr>
              <w:t>运输设备</w:t>
            </w:r>
          </w:p>
        </w:tc>
        <w:tc>
          <w:tcPr>
            <w:tcW w:w="1594"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center"/>
              <w:rPr>
                <w:rFonts w:eastAsia="Times New Roman" w:cs="Times New Roman"/>
              </w:rPr>
            </w:pPr>
            <w:r>
              <w:rPr>
                <w:rFonts w:hint="eastAsia"/>
              </w:rPr>
              <w:t>办公设备及其他</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合计</w:t>
            </w: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一、账面原值：</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1.</w:t>
            </w:r>
            <w:r>
              <w:rPr>
                <w:rFonts w:hint="eastAsia"/>
              </w:rPr>
              <w:t>期初余额</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65,185,659.51</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18,354,841.02</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12,214,953.37</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27,641,258.77</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123,396,712.67</w:t>
            </w: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2.</w:t>
            </w:r>
            <w:r>
              <w:rPr>
                <w:rFonts w:hint="eastAsia"/>
              </w:rPr>
              <w:t>本期增加金额</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2,820.92</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338,216.69</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469,439.40</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810,477.01</w:t>
            </w: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1</w:t>
            </w:r>
            <w:r>
              <w:rPr>
                <w:rFonts w:hint="eastAsia"/>
              </w:rPr>
              <w:t>）购置</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335,536.48</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464,987.53</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800,524.01</w:t>
            </w: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2</w:t>
            </w:r>
            <w:r>
              <w:rPr>
                <w:rFonts w:hint="eastAsia"/>
              </w:rPr>
              <w:t>）在建工程转入</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3</w:t>
            </w:r>
            <w:r>
              <w:rPr>
                <w:rFonts w:hint="eastAsia"/>
              </w:rPr>
              <w:t>）企业合并增加</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left"/>
              <w:rPr>
                <w:rFonts w:eastAsia="Times New Roman" w:cs="Times New Roman"/>
              </w:rPr>
            </w:pPr>
            <w:r>
              <w:rPr>
                <w:rFonts w:cs="Times New Roman"/>
              </w:rPr>
              <w:t xml:space="preserve">       </w:t>
            </w:r>
            <w:r>
              <w:rPr>
                <w:rFonts w:hint="eastAsia"/>
              </w:rPr>
              <w:t>（</w:t>
            </w:r>
            <w:r>
              <w:rPr>
                <w:rFonts w:cs="Times New Roman"/>
              </w:rPr>
              <w:t>4</w:t>
            </w:r>
            <w:r>
              <w:rPr>
                <w:rFonts w:hint="eastAsia"/>
              </w:rPr>
              <w:t>）汇率影响</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2,820.92</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2,680.21</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4,451.87</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9,953.00</w:t>
            </w: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3.</w:t>
            </w:r>
            <w:r>
              <w:rPr>
                <w:rFonts w:hint="eastAsia"/>
              </w:rPr>
              <w:t>本期减少金额</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1,733,391.73</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6,195.09</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1,739,586.82</w:t>
            </w: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1</w:t>
            </w:r>
            <w:r>
              <w:rPr>
                <w:rFonts w:hint="eastAsia"/>
              </w:rPr>
              <w:t>）处置或报废</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1,733,391.73</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1,733,391.73</w:t>
            </w: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left"/>
              <w:rPr>
                <w:rFonts w:eastAsia="Times New Roman" w:cs="Times New Roman"/>
              </w:rPr>
            </w:pPr>
            <w:r>
              <w:rPr>
                <w:rFonts w:cs="Times New Roman"/>
              </w:rPr>
              <w:t xml:space="preserve">       </w:t>
            </w:r>
            <w:r>
              <w:rPr>
                <w:rFonts w:hint="eastAsia"/>
              </w:rPr>
              <w:t>（</w:t>
            </w:r>
            <w:r>
              <w:rPr>
                <w:rFonts w:cs="Times New Roman"/>
              </w:rPr>
              <w:t>2</w:t>
            </w:r>
            <w:r>
              <w:rPr>
                <w:rFonts w:hint="eastAsia"/>
              </w:rPr>
              <w:t>）汇率影响</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6,195.09</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6,195.09</w:t>
            </w: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4.</w:t>
            </w:r>
            <w:r>
              <w:rPr>
                <w:rFonts w:hint="eastAsia"/>
              </w:rPr>
              <w:t>期末余额</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65,185,659.51</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18,357,661.94</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10,819,778.33</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28,104,503.08</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122,467,602.86</w:t>
            </w: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二、累计折旧</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lastRenderedPageBreak/>
              <w:t xml:space="preserve">　</w:t>
            </w:r>
            <w:r>
              <w:rPr>
                <w:rFonts w:cs="Times New Roman"/>
              </w:rPr>
              <w:t>1.</w:t>
            </w:r>
            <w:r>
              <w:rPr>
                <w:rFonts w:hint="eastAsia"/>
              </w:rPr>
              <w:t>期初余额</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9,129,960.95</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16,749,140.35</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10,560,836.80</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16,651,119.48</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53,091,057.58</w:t>
            </w: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2.</w:t>
            </w:r>
            <w:r>
              <w:rPr>
                <w:rFonts w:hint="eastAsia"/>
              </w:rPr>
              <w:t>本期增加金额</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774,753.78</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142,579.66</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386,416.43</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2,074,886.80</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3,378,636.67</w:t>
            </w: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1</w:t>
            </w:r>
            <w:r>
              <w:rPr>
                <w:rFonts w:hint="eastAsia"/>
              </w:rPr>
              <w:t>）计提</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774,753.78</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141,552.37</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383,736.22</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2,070,261.10</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3,370,303.47</w:t>
            </w: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left"/>
              <w:rPr>
                <w:rFonts w:eastAsia="Times New Roman" w:cs="Times New Roman"/>
              </w:rPr>
            </w:pPr>
            <w:r>
              <w:rPr>
                <w:rFonts w:cs="Times New Roman"/>
              </w:rPr>
              <w:t xml:space="preserve">       </w:t>
            </w:r>
            <w:r>
              <w:rPr>
                <w:rFonts w:hint="eastAsia"/>
              </w:rPr>
              <w:t>（</w:t>
            </w:r>
            <w:r>
              <w:rPr>
                <w:rFonts w:cs="Times New Roman"/>
              </w:rPr>
              <w:t>2</w:t>
            </w:r>
            <w:r>
              <w:rPr>
                <w:rFonts w:hint="eastAsia"/>
              </w:rPr>
              <w:t>）企业合并增加</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left"/>
              <w:rPr>
                <w:rFonts w:eastAsia="Times New Roman" w:cs="Times New Roman"/>
              </w:rPr>
            </w:pPr>
            <w:r>
              <w:rPr>
                <w:rFonts w:cs="Times New Roman"/>
              </w:rPr>
              <w:t xml:space="preserve">       </w:t>
            </w:r>
            <w:r>
              <w:rPr>
                <w:rFonts w:hint="eastAsia"/>
              </w:rPr>
              <w:t>（</w:t>
            </w:r>
            <w:r>
              <w:rPr>
                <w:rFonts w:cs="Times New Roman"/>
              </w:rPr>
              <w:t>3</w:t>
            </w:r>
            <w:r>
              <w:rPr>
                <w:rFonts w:hint="eastAsia"/>
              </w:rPr>
              <w:t>）汇率影响</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1,027.29</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2,680.21</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4,625.70</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8,333.20</w:t>
            </w: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3.</w:t>
            </w:r>
            <w:r>
              <w:rPr>
                <w:rFonts w:hint="eastAsia"/>
              </w:rPr>
              <w:t>本期减少金额</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1,618,116.79</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4,766.11</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1,622,882.90</w:t>
            </w: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1</w:t>
            </w:r>
            <w:r>
              <w:rPr>
                <w:rFonts w:hint="eastAsia"/>
              </w:rPr>
              <w:t>）处置或报废</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1,618,116.79</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1,618,116.79</w:t>
            </w: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left"/>
              <w:rPr>
                <w:rFonts w:eastAsia="Times New Roman" w:cs="Times New Roman"/>
              </w:rPr>
            </w:pPr>
            <w:r>
              <w:rPr>
                <w:rFonts w:cs="Times New Roman"/>
              </w:rPr>
              <w:t xml:space="preserve">       </w:t>
            </w:r>
            <w:r>
              <w:rPr>
                <w:rFonts w:hint="eastAsia"/>
              </w:rPr>
              <w:t>（</w:t>
            </w:r>
            <w:r>
              <w:rPr>
                <w:rFonts w:cs="Times New Roman"/>
              </w:rPr>
              <w:t>2</w:t>
            </w:r>
            <w:r>
              <w:rPr>
                <w:rFonts w:hint="eastAsia"/>
              </w:rPr>
              <w:t>）汇率影响</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4,766.11</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4,766.11</w:t>
            </w: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4.</w:t>
            </w:r>
            <w:r>
              <w:rPr>
                <w:rFonts w:hint="eastAsia"/>
              </w:rPr>
              <w:t>期末余额</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9,904,714.73</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16,891,720.01</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9,329,136.44</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18,721,240.17</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54,846,811.35</w:t>
            </w: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三、减值准备</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1.</w:t>
            </w:r>
            <w:r>
              <w:rPr>
                <w:rFonts w:hint="eastAsia"/>
              </w:rPr>
              <w:t>期初余额</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2.</w:t>
            </w:r>
            <w:r>
              <w:rPr>
                <w:rFonts w:hint="eastAsia"/>
              </w:rPr>
              <w:t>本期增加金额</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1</w:t>
            </w:r>
            <w:r>
              <w:rPr>
                <w:rFonts w:hint="eastAsia"/>
              </w:rPr>
              <w:t>）计提</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A9288A">
            <w:pPr>
              <w:jc w:val="lef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3.</w:t>
            </w:r>
            <w:r>
              <w:rPr>
                <w:rFonts w:hint="eastAsia"/>
              </w:rPr>
              <w:t>本期减少金额</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1</w:t>
            </w:r>
            <w:r>
              <w:rPr>
                <w:rFonts w:hint="eastAsia"/>
              </w:rPr>
              <w:t>）处置或报废</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A9288A">
            <w:pPr>
              <w:jc w:val="lef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4.</w:t>
            </w:r>
            <w:r>
              <w:rPr>
                <w:rFonts w:hint="eastAsia"/>
              </w:rPr>
              <w:t>期末余额</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四、账面价值</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1.</w:t>
            </w:r>
            <w:r>
              <w:rPr>
                <w:rFonts w:hint="eastAsia"/>
              </w:rPr>
              <w:t>期末账面价值</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55,280,944.78</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1,465,941.93</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1,490,641.89</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9,383,262.91</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67,620,791.51</w:t>
            </w: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2.</w:t>
            </w:r>
            <w:r>
              <w:rPr>
                <w:rFonts w:hint="eastAsia"/>
              </w:rPr>
              <w:t>期初账面价值</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56,055,698.56</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1,605,700.67</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1,654,116.57</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10,990,139.29</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70,305,655.09</w:t>
            </w:r>
          </w:p>
        </w:tc>
      </w:tr>
    </w:tbl>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）暂时闲置的固定资产情况</w:t>
      </w:r>
    </w:p>
    <w:p w:rsidR="00A9288A" w:rsidRDefault="007A4434">
      <w:pPr>
        <w:pStyle w:val="Section"/>
        <w:outlineLvl w:val="3"/>
        <w:rPr>
          <w:rFonts w:eastAsia="Times New Roman" w:cs="Times New Roman"/>
        </w:rPr>
      </w:pPr>
      <w:r>
        <w:rPr>
          <w:rFonts w:hint="eastAsia"/>
        </w:rPr>
        <w:t>（</w:t>
      </w:r>
      <w:r>
        <w:rPr>
          <w:rFonts w:cs="Times New Roman"/>
        </w:rPr>
        <w:t>3</w:t>
      </w:r>
      <w:r>
        <w:rPr>
          <w:rFonts w:hint="eastAsia"/>
        </w:rPr>
        <w:t>）通过融资租赁租入的固定资产情况</w:t>
      </w:r>
    </w:p>
    <w:p w:rsidR="00A9288A" w:rsidRDefault="007A4434">
      <w:pPr>
        <w:pStyle w:val="Section"/>
        <w:outlineLvl w:val="3"/>
        <w:rPr>
          <w:rFonts w:eastAsia="Times New Roman" w:cs="Times New Roman"/>
        </w:rPr>
      </w:pPr>
      <w:r>
        <w:rPr>
          <w:rFonts w:hint="eastAsia"/>
        </w:rPr>
        <w:t>（</w:t>
      </w:r>
      <w:r>
        <w:rPr>
          <w:rFonts w:cs="Times New Roman"/>
        </w:rPr>
        <w:t>4</w:t>
      </w:r>
      <w:r>
        <w:rPr>
          <w:rFonts w:hint="eastAsia"/>
        </w:rPr>
        <w:t>）通过经营租赁租出的固定资产</w:t>
      </w:r>
    </w:p>
    <w:p w:rsidR="00A9288A" w:rsidRDefault="007A4434">
      <w:pPr>
        <w:pStyle w:val="Section"/>
        <w:outlineLvl w:val="3"/>
        <w:rPr>
          <w:rFonts w:eastAsia="Times New Roman" w:cs="Times New Roman"/>
        </w:rPr>
      </w:pPr>
      <w:r>
        <w:rPr>
          <w:rFonts w:hint="eastAsia"/>
        </w:rPr>
        <w:t>（</w:t>
      </w:r>
      <w:r>
        <w:rPr>
          <w:rFonts w:cs="Times New Roman"/>
        </w:rPr>
        <w:t>5</w:t>
      </w:r>
      <w:r>
        <w:rPr>
          <w:rFonts w:hint="eastAsia"/>
        </w:rPr>
        <w:t>）未办妥产权证书的固定资产情况</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7"/>
        <w:gridCol w:w="3193"/>
        <w:gridCol w:w="3189"/>
      </w:tblGrid>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账面价值</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未办妥产权证书的原因</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车间一及配套</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25,364,750.18</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未办理完毕</w:t>
            </w:r>
          </w:p>
        </w:tc>
      </w:tr>
    </w:tbl>
    <w:p w:rsidR="00A9288A" w:rsidRDefault="007A4434">
      <w:pPr>
        <w:pStyle w:val="Section"/>
        <w:outlineLvl w:val="2"/>
        <w:rPr>
          <w:rFonts w:eastAsia="Times New Roman" w:cs="Times New Roman"/>
        </w:rPr>
      </w:pPr>
      <w:r>
        <w:rPr>
          <w:rFonts w:cs="Times New Roman"/>
        </w:rPr>
        <w:lastRenderedPageBreak/>
        <w:t>20</w:t>
      </w:r>
      <w:r>
        <w:rPr>
          <w:rFonts w:hint="eastAsia"/>
        </w:rPr>
        <w:t>、在建工程</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）在建工程情况</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368"/>
        <w:gridCol w:w="1368"/>
        <w:gridCol w:w="1367"/>
        <w:gridCol w:w="1367"/>
        <w:gridCol w:w="1367"/>
        <w:gridCol w:w="1367"/>
        <w:gridCol w:w="1367"/>
      </w:tblGrid>
      <w:tr w:rsidR="00A9288A">
        <w:tc>
          <w:tcPr>
            <w:tcW w:w="1368"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4102"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4101"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r>
      <w:tr w:rsidR="00A9288A">
        <w:tc>
          <w:tcPr>
            <w:tcW w:w="1368"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账面余额</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减值准备</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账面价值</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账面余额</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减值准备</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账面价值</w:t>
            </w:r>
          </w:p>
        </w:tc>
      </w:tr>
      <w:tr w:rsidR="00A9288A">
        <w:tc>
          <w:tcPr>
            <w:tcW w:w="13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设计费</w:t>
            </w:r>
          </w:p>
        </w:tc>
        <w:tc>
          <w:tcPr>
            <w:tcW w:w="13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124,849.06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124,849.06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124,849.06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124,849.06</w:t>
            </w:r>
          </w:p>
        </w:tc>
      </w:tr>
      <w:tr w:rsidR="00A9288A">
        <w:tc>
          <w:tcPr>
            <w:tcW w:w="13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勘察及测绘费</w:t>
            </w:r>
          </w:p>
        </w:tc>
        <w:tc>
          <w:tcPr>
            <w:tcW w:w="13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11,190.17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11,190.17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11,190.17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11,190.17</w:t>
            </w:r>
          </w:p>
        </w:tc>
      </w:tr>
      <w:tr w:rsidR="00A9288A">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13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136,039.23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136,039.23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136,039.23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136,039.23</w:t>
            </w:r>
          </w:p>
        </w:tc>
      </w:tr>
    </w:tbl>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）重要在建工程项目本期变动情况</w:t>
      </w:r>
    </w:p>
    <w:p w:rsidR="00A9288A" w:rsidRDefault="007A4434">
      <w:pPr>
        <w:pStyle w:val="Section"/>
        <w:outlineLvl w:val="3"/>
        <w:rPr>
          <w:rFonts w:eastAsia="Times New Roman" w:cs="Times New Roman"/>
        </w:rPr>
      </w:pPr>
      <w:r>
        <w:rPr>
          <w:rFonts w:hint="eastAsia"/>
        </w:rPr>
        <w:t>（</w:t>
      </w:r>
      <w:r>
        <w:rPr>
          <w:rFonts w:cs="Times New Roman"/>
        </w:rPr>
        <w:t>3</w:t>
      </w:r>
      <w:r>
        <w:rPr>
          <w:rFonts w:hint="eastAsia"/>
        </w:rPr>
        <w:t>）本期计提在建工程减值准备情况</w:t>
      </w:r>
    </w:p>
    <w:p w:rsidR="00A9288A" w:rsidRDefault="007A4434">
      <w:pPr>
        <w:pStyle w:val="Section"/>
        <w:outlineLvl w:val="2"/>
        <w:rPr>
          <w:rFonts w:eastAsia="Times New Roman" w:cs="Times New Roman"/>
        </w:rPr>
      </w:pPr>
      <w:r>
        <w:rPr>
          <w:rFonts w:cs="Times New Roman"/>
        </w:rPr>
        <w:t>21</w:t>
      </w:r>
      <w:r>
        <w:rPr>
          <w:rFonts w:hint="eastAsia"/>
        </w:rPr>
        <w:t>、工程物资</w:t>
      </w:r>
    </w:p>
    <w:p w:rsidR="00A9288A" w:rsidRDefault="007A4434">
      <w:pPr>
        <w:pStyle w:val="Section"/>
        <w:outlineLvl w:val="2"/>
        <w:rPr>
          <w:rFonts w:eastAsia="Times New Roman" w:cs="Times New Roman"/>
        </w:rPr>
      </w:pPr>
      <w:r>
        <w:rPr>
          <w:rFonts w:cs="Times New Roman"/>
        </w:rPr>
        <w:t>22</w:t>
      </w:r>
      <w:r>
        <w:rPr>
          <w:rFonts w:hint="eastAsia"/>
        </w:rPr>
        <w:t>、固定资产清理</w:t>
      </w:r>
    </w:p>
    <w:p w:rsidR="00A9288A" w:rsidRDefault="007A4434">
      <w:pPr>
        <w:pStyle w:val="Section"/>
        <w:outlineLvl w:val="2"/>
        <w:rPr>
          <w:rFonts w:eastAsia="Times New Roman" w:cs="Times New Roman"/>
        </w:rPr>
      </w:pPr>
      <w:r>
        <w:rPr>
          <w:rFonts w:cs="Times New Roman"/>
        </w:rPr>
        <w:t>23</w:t>
      </w:r>
      <w:r>
        <w:rPr>
          <w:rFonts w:hint="eastAsia"/>
        </w:rPr>
        <w:t>、生产性生物资产</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）采用成本计量模式的生产性生物资产</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）采用公允价值计量模式的生产性生物资产</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Section"/>
        <w:outlineLvl w:val="2"/>
        <w:rPr>
          <w:rFonts w:eastAsia="Times New Roman" w:cs="Times New Roman"/>
        </w:rPr>
      </w:pPr>
      <w:r>
        <w:rPr>
          <w:rFonts w:cs="Times New Roman"/>
        </w:rPr>
        <w:t>24</w:t>
      </w:r>
      <w:r>
        <w:rPr>
          <w:rFonts w:hint="eastAsia"/>
        </w:rPr>
        <w:t>、油气资产</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Section"/>
        <w:outlineLvl w:val="2"/>
        <w:rPr>
          <w:rFonts w:eastAsia="Times New Roman" w:cs="Times New Roman"/>
        </w:rPr>
      </w:pPr>
      <w:r>
        <w:rPr>
          <w:rFonts w:cs="Times New Roman"/>
        </w:rPr>
        <w:t>25</w:t>
      </w:r>
      <w:r>
        <w:rPr>
          <w:rFonts w:hint="eastAsia"/>
        </w:rPr>
        <w:t>、无形资产</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）无形资产情况</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367"/>
        <w:gridCol w:w="1367"/>
        <w:gridCol w:w="1367"/>
        <w:gridCol w:w="1367"/>
        <w:gridCol w:w="1367"/>
        <w:gridCol w:w="1367"/>
        <w:gridCol w:w="1367"/>
      </w:tblGrid>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土地使用权</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专利权</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非专利技术</w:t>
            </w:r>
          </w:p>
        </w:tc>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center"/>
              <w:rPr>
                <w:rFonts w:eastAsia="Times New Roman" w:cs="Times New Roman"/>
              </w:rPr>
            </w:pPr>
            <w:r>
              <w:rPr>
                <w:rFonts w:hint="eastAsia"/>
              </w:rPr>
              <w:t>软件</w:t>
            </w:r>
          </w:p>
        </w:tc>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center"/>
              <w:rPr>
                <w:rFonts w:eastAsia="Times New Roman" w:cs="Times New Roman"/>
              </w:rPr>
            </w:pPr>
            <w:r>
              <w:rPr>
                <w:rFonts w:hint="eastAsia"/>
              </w:rPr>
              <w:t>商标</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合计</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一、账面原值</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1.</w:t>
            </w:r>
            <w:r>
              <w:rPr>
                <w:rFonts w:hint="eastAsia"/>
              </w:rPr>
              <w:t>期初余额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13,067,434.98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134,969,670.28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8,758,340.77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94,712,328.52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251,507,774.55</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2.</w:t>
            </w:r>
            <w:r>
              <w:rPr>
                <w:rFonts w:hint="eastAsia"/>
              </w:rPr>
              <w:t>本期增加</w:t>
            </w:r>
            <w:r>
              <w:rPr>
                <w:rFonts w:hint="eastAsia"/>
              </w:rPr>
              <w:lastRenderedPageBreak/>
              <w:t>金额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40,716,689.66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24,827.58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40,741,517.24</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lastRenderedPageBreak/>
              <w:t xml:space="preserve">　　　（</w:t>
            </w:r>
            <w:r>
              <w:rPr>
                <w:rFonts w:cs="Times New Roman"/>
              </w:rPr>
              <w:t>1</w:t>
            </w:r>
            <w:r>
              <w:rPr>
                <w:rFonts w:hint="eastAsia"/>
              </w:rPr>
              <w:t>）购置</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39,435,157.69</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39,435,157.69</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2</w:t>
            </w:r>
            <w:r>
              <w:rPr>
                <w:rFonts w:hint="eastAsia"/>
              </w:rPr>
              <w:t>）内部研发</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3</w:t>
            </w:r>
            <w:r>
              <w:rPr>
                <w:rFonts w:hint="eastAsia"/>
              </w:rPr>
              <w:t>）企业合并增加</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left"/>
              <w:rPr>
                <w:rFonts w:eastAsia="Times New Roman" w:cs="Times New Roman"/>
              </w:rPr>
            </w:pPr>
            <w:r>
              <w:rPr>
                <w:rFonts w:cs="Times New Roman"/>
              </w:rPr>
              <w:t xml:space="preserve">          </w:t>
            </w:r>
            <w:r>
              <w:rPr>
                <w:rFonts w:hint="eastAsia"/>
              </w:rPr>
              <w:t>（</w:t>
            </w:r>
            <w:r>
              <w:rPr>
                <w:rFonts w:cs="Times New Roman"/>
              </w:rPr>
              <w:t>4</w:t>
            </w:r>
            <w:r>
              <w:rPr>
                <w:rFonts w:hint="eastAsia"/>
              </w:rPr>
              <w:t>）汇率变动</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1,281,531.97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24,827.58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1,306,359.55</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3.</w:t>
            </w:r>
            <w:r>
              <w:rPr>
                <w:rFonts w:hint="eastAsia"/>
              </w:rPr>
              <w:t>本期减少金额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982,019.84</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5,306.28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987,326.12</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1</w:t>
            </w:r>
            <w:r>
              <w:rPr>
                <w:rFonts w:hint="eastAsia"/>
              </w:rPr>
              <w:t>）处置</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836,461.22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836,461.22</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left"/>
              <w:rPr>
                <w:rFonts w:eastAsia="Times New Roman" w:cs="Times New Roman"/>
              </w:rPr>
            </w:pPr>
            <w:r>
              <w:rPr>
                <w:rFonts w:cs="Times New Roman"/>
              </w:rPr>
              <w:t xml:space="preserve">          </w:t>
            </w:r>
            <w:r>
              <w:rPr>
                <w:rFonts w:hint="eastAsia"/>
              </w:rPr>
              <w:t>（</w:t>
            </w:r>
            <w:r>
              <w:rPr>
                <w:rFonts w:cs="Times New Roman"/>
              </w:rPr>
              <w:t>2</w:t>
            </w:r>
            <w:r>
              <w:rPr>
                <w:rFonts w:hint="eastAsia"/>
              </w:rPr>
              <w:t>）汇率变动</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145,558.62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5,306.28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150,864.90</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4.</w:t>
            </w:r>
            <w:r>
              <w:rPr>
                <w:rFonts w:hint="eastAsia"/>
              </w:rPr>
              <w:t>期末余额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13,067,434.98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174,704,340.10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8,777,862.07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94,712,328.52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291,261,965.67</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二、累计摊销</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1.</w:t>
            </w:r>
            <w:r>
              <w:rPr>
                <w:rFonts w:hint="eastAsia"/>
              </w:rPr>
              <w:t>期初余额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1,350,360.00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41,222,153.93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4,917,834.65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47,490,348.58</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2.</w:t>
            </w:r>
            <w:r>
              <w:rPr>
                <w:rFonts w:hint="eastAsia"/>
              </w:rPr>
              <w:t>本期增加金额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130,680.00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7,548,157.23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854,840.28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8,533,677.51</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1</w:t>
            </w:r>
            <w:r>
              <w:rPr>
                <w:rFonts w:hint="eastAsia"/>
              </w:rPr>
              <w:t>）计提</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130,680.00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7,403,591.63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854,840.28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8,389,111.91</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left"/>
              <w:rPr>
                <w:rFonts w:eastAsia="Times New Roman" w:cs="Times New Roman"/>
              </w:rPr>
            </w:pPr>
            <w:r>
              <w:rPr>
                <w:rFonts w:cs="Times New Roman"/>
              </w:rPr>
              <w:t xml:space="preserve">          </w:t>
            </w:r>
            <w:r>
              <w:rPr>
                <w:rFonts w:hint="eastAsia"/>
              </w:rPr>
              <w:t>（</w:t>
            </w:r>
            <w:r>
              <w:rPr>
                <w:rFonts w:cs="Times New Roman"/>
              </w:rPr>
              <w:t>2</w:t>
            </w:r>
            <w:r>
              <w:rPr>
                <w:rFonts w:hint="eastAsia"/>
              </w:rPr>
              <w:t>）汇率变动</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144,565.60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144,565.60</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3.</w:t>
            </w:r>
            <w:r>
              <w:rPr>
                <w:rFonts w:hint="eastAsia"/>
              </w:rPr>
              <w:t>本期减少金额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272,598.83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3,405.59</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276,004.42</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1</w:t>
            </w:r>
            <w:r>
              <w:rPr>
                <w:rFonts w:hint="eastAsia"/>
              </w:rPr>
              <w:t>）处置</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205,801.54</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205,801.54</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left"/>
              <w:rPr>
                <w:rFonts w:eastAsia="Times New Roman" w:cs="Times New Roman"/>
              </w:rPr>
            </w:pPr>
            <w:r>
              <w:rPr>
                <w:rFonts w:cs="Times New Roman"/>
              </w:rPr>
              <w:t xml:space="preserve">          </w:t>
            </w:r>
            <w:r>
              <w:rPr>
                <w:rFonts w:hint="eastAsia"/>
              </w:rPr>
              <w:t>（</w:t>
            </w:r>
            <w:r>
              <w:rPr>
                <w:rFonts w:cs="Times New Roman"/>
              </w:rPr>
              <w:t>2</w:t>
            </w:r>
            <w:r>
              <w:rPr>
                <w:rFonts w:hint="eastAsia"/>
              </w:rPr>
              <w:t>）汇率变动</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66,797.29</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3,405.59</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70,202.88</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4.</w:t>
            </w:r>
            <w:r>
              <w:rPr>
                <w:rFonts w:hint="eastAsia"/>
              </w:rPr>
              <w:t>期末余额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1,481,040.00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48,497,712.33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5,769,269.34</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55,748,021.67</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三、减值准备</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1.</w:t>
            </w:r>
            <w:r>
              <w:rPr>
                <w:rFonts w:hint="eastAsia"/>
              </w:rPr>
              <w:t>期初余额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859,142.40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859,142.40</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2.</w:t>
            </w:r>
            <w:r>
              <w:rPr>
                <w:rFonts w:hint="eastAsia"/>
              </w:rPr>
              <w:t>本期增加金额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1</w:t>
            </w:r>
            <w:r>
              <w:rPr>
                <w:rFonts w:hint="eastAsia"/>
              </w:rPr>
              <w:t>）计提</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A9288A">
            <w:pPr>
              <w:jc w:val="lef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3.</w:t>
            </w:r>
            <w:r>
              <w:rPr>
                <w:rFonts w:hint="eastAsia"/>
              </w:rPr>
              <w:t>本期减少金额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1</w:t>
            </w:r>
            <w:r>
              <w:rPr>
                <w:rFonts w:hint="eastAsia"/>
              </w:rPr>
              <w:t>）处置</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A9288A">
            <w:pPr>
              <w:jc w:val="lef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lastRenderedPageBreak/>
              <w:t xml:space="preserve">　　</w:t>
            </w:r>
            <w:r>
              <w:rPr>
                <w:rFonts w:cs="Times New Roman"/>
              </w:rPr>
              <w:t>4.</w:t>
            </w:r>
            <w:r>
              <w:rPr>
                <w:rFonts w:hint="eastAsia"/>
              </w:rPr>
              <w:t>期末余额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859,142.40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859,142.40</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四、账面价值</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1.</w:t>
            </w:r>
            <w:r>
              <w:rPr>
                <w:rFonts w:hint="eastAsia"/>
              </w:rPr>
              <w:t>期末账面价值</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11,586,394.98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125,347,485.37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3,008,592.73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94,712,328.52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234,654,801.60</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w:t>
            </w:r>
            <w:r>
              <w:rPr>
                <w:rFonts w:cs="Times New Roman"/>
              </w:rPr>
              <w:t>2.</w:t>
            </w:r>
            <w:r>
              <w:rPr>
                <w:rFonts w:hint="eastAsia"/>
              </w:rPr>
              <w:t>期初账面价值</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11,717,074.98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92,888,373.95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3,840,506.12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94,712,328.52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203,158,283.57</w:t>
            </w:r>
          </w:p>
        </w:tc>
      </w:tr>
    </w:tbl>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）未办妥产权证书的土地使用权情况</w:t>
      </w:r>
    </w:p>
    <w:p w:rsidR="00A9288A" w:rsidRDefault="007A4434">
      <w:pPr>
        <w:pStyle w:val="Section"/>
        <w:outlineLvl w:val="2"/>
        <w:rPr>
          <w:rFonts w:eastAsia="Times New Roman" w:cs="Times New Roman"/>
        </w:rPr>
      </w:pPr>
      <w:r>
        <w:rPr>
          <w:rFonts w:cs="Times New Roman"/>
        </w:rPr>
        <w:t>26</w:t>
      </w:r>
      <w:r>
        <w:rPr>
          <w:rFonts w:hint="eastAsia"/>
        </w:rPr>
        <w:t>、开发支出</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33" w:type="dxa"/>
        <w:tblLayout w:type="fixed"/>
        <w:tblCellMar>
          <w:left w:w="28" w:type="dxa"/>
          <w:right w:w="28" w:type="dxa"/>
        </w:tblCellMar>
        <w:tblLook w:val="0000" w:firstRow="0" w:lastRow="0" w:firstColumn="0" w:lastColumn="0" w:noHBand="0" w:noVBand="0"/>
      </w:tblPr>
      <w:tblGrid>
        <w:gridCol w:w="1096"/>
        <w:gridCol w:w="1065"/>
        <w:gridCol w:w="1091"/>
        <w:gridCol w:w="1065"/>
        <w:gridCol w:w="1065"/>
        <w:gridCol w:w="1065"/>
        <w:gridCol w:w="1091"/>
        <w:gridCol w:w="1065"/>
        <w:gridCol w:w="1091"/>
      </w:tblGrid>
      <w:tr w:rsidR="00A9288A">
        <w:tc>
          <w:tcPr>
            <w:tcW w:w="1096"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1065"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c>
          <w:tcPr>
            <w:tcW w:w="3221"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本期增加金额</w:t>
            </w:r>
          </w:p>
        </w:tc>
        <w:tc>
          <w:tcPr>
            <w:tcW w:w="3221"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本期减少金额</w:t>
            </w:r>
          </w:p>
        </w:tc>
        <w:tc>
          <w:tcPr>
            <w:tcW w:w="109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r>
      <w:tr w:rsidR="00A9288A">
        <w:tc>
          <w:tcPr>
            <w:tcW w:w="1096"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left"/>
              <w:rPr>
                <w:rFonts w:eastAsia="Times New Roman" w:cs="Times New Roman"/>
              </w:rPr>
            </w:pPr>
            <w:r>
              <w:rPr>
                <w:rFonts w:hint="eastAsia"/>
              </w:rPr>
              <w:t>系列雷达系统</w:t>
            </w: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2,440,319.72</w:t>
            </w: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2,440,319.72</w:t>
            </w: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096"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left"/>
              <w:rPr>
                <w:rFonts w:eastAsia="Times New Roman" w:cs="Times New Roman"/>
              </w:rPr>
            </w:pPr>
            <w:r>
              <w:rPr>
                <w:rFonts w:hint="eastAsia"/>
              </w:rPr>
              <w:t>智能船（包括</w:t>
            </w:r>
            <w:r>
              <w:rPr>
                <w:rFonts w:cs="Times New Roman"/>
              </w:rPr>
              <w:t>Hi-CLOUD</w:t>
            </w:r>
            <w:r>
              <w:rPr>
                <w:rFonts w:hint="eastAsia"/>
              </w:rPr>
              <w:t>）</w:t>
            </w: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631,180.78</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13,883,446.25</w:t>
            </w: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6,080,208.71</w:t>
            </w: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8,434,418.32</w:t>
            </w:r>
          </w:p>
        </w:tc>
      </w:tr>
      <w:tr w:rsidR="00A9288A">
        <w:tc>
          <w:tcPr>
            <w:tcW w:w="1096"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left"/>
              <w:rPr>
                <w:rFonts w:eastAsia="Times New Roman" w:cs="Times New Roman"/>
              </w:rPr>
            </w:pPr>
            <w:r>
              <w:rPr>
                <w:rFonts w:cs="Times New Roman"/>
              </w:rPr>
              <w:t>JP</w:t>
            </w:r>
            <w:r>
              <w:rPr>
                <w:rFonts w:hint="eastAsia"/>
              </w:rPr>
              <w:t>系列产品研发</w:t>
            </w: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2,629,362.67</w:t>
            </w: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615,499.08</w:t>
            </w: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2,013,863.59</w:t>
            </w:r>
          </w:p>
        </w:tc>
      </w:tr>
      <w:tr w:rsidR="00A9288A">
        <w:tc>
          <w:tcPr>
            <w:tcW w:w="1096"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left"/>
              <w:rPr>
                <w:rFonts w:eastAsia="Times New Roman" w:cs="Times New Roman"/>
              </w:rPr>
            </w:pPr>
            <w:r>
              <w:rPr>
                <w:rFonts w:hint="eastAsia"/>
              </w:rPr>
              <w:t>水质质量环境监测系统</w:t>
            </w: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2,504,988.99</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472,746.66</w:t>
            </w: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2,977,735.65</w:t>
            </w:r>
          </w:p>
        </w:tc>
      </w:tr>
      <w:tr w:rsidR="00A9288A">
        <w:tc>
          <w:tcPr>
            <w:tcW w:w="1096"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left"/>
              <w:rPr>
                <w:rFonts w:eastAsia="Times New Roman" w:cs="Times New Roman"/>
              </w:rPr>
            </w:pPr>
            <w:r>
              <w:rPr>
                <w:rFonts w:hint="eastAsia"/>
              </w:rPr>
              <w:t>挥发性有机物（ＶＯＣ</w:t>
            </w:r>
            <w:r>
              <w:rPr>
                <w:rFonts w:cs="Times New Roman"/>
              </w:rPr>
              <w:t>s</w:t>
            </w:r>
            <w:r>
              <w:rPr>
                <w:rFonts w:hint="eastAsia"/>
              </w:rPr>
              <w:t>）在线监测系统</w:t>
            </w: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323,369.48</w:t>
            </w: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323,369.48</w:t>
            </w: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096"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left"/>
              <w:rPr>
                <w:rFonts w:eastAsia="Times New Roman" w:cs="Times New Roman"/>
              </w:rPr>
            </w:pPr>
            <w:r>
              <w:rPr>
                <w:rFonts w:hint="eastAsia"/>
              </w:rPr>
              <w:t>海洋设备国产化和应用平台系统研发</w:t>
            </w: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6,998,028.25</w:t>
            </w: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6,998,028.25</w:t>
            </w: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09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合计</w:t>
            </w: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3,136,169.77</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26,747,273.03</w:t>
            </w: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16,457,425.24</w:t>
            </w: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13,426,017.56</w:t>
            </w:r>
          </w:p>
        </w:tc>
      </w:tr>
    </w:tbl>
    <w:p w:rsidR="00A9288A" w:rsidRDefault="007A4434">
      <w:pPr>
        <w:jc w:val="left"/>
        <w:rPr>
          <w:rFonts w:eastAsia="Times New Roman" w:cs="Times New Roman"/>
        </w:rPr>
      </w:pPr>
      <w:r>
        <w:rPr>
          <w:rFonts w:hint="eastAsia"/>
        </w:rPr>
        <w:t>其他说明</w:t>
      </w:r>
    </w:p>
    <w:p w:rsidR="00A9288A" w:rsidRDefault="007A4434">
      <w:pPr>
        <w:pStyle w:val="Section"/>
        <w:outlineLvl w:val="2"/>
        <w:rPr>
          <w:rFonts w:eastAsia="Times New Roman" w:cs="Times New Roman"/>
        </w:rPr>
      </w:pPr>
      <w:r>
        <w:rPr>
          <w:rFonts w:cs="Times New Roman"/>
        </w:rPr>
        <w:t>27</w:t>
      </w:r>
      <w:r>
        <w:rPr>
          <w:rFonts w:hint="eastAsia"/>
        </w:rPr>
        <w:t>、商誉</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）商誉账面原值</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367"/>
        <w:gridCol w:w="1367"/>
        <w:gridCol w:w="1367"/>
        <w:gridCol w:w="1367"/>
        <w:gridCol w:w="1367"/>
        <w:gridCol w:w="1367"/>
        <w:gridCol w:w="1367"/>
      </w:tblGrid>
      <w:tr w:rsidR="00A9288A">
        <w:tc>
          <w:tcPr>
            <w:tcW w:w="1367"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被投资单位名称或形成商誉的事项</w:t>
            </w:r>
          </w:p>
        </w:tc>
        <w:tc>
          <w:tcPr>
            <w:tcW w:w="1367"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c>
          <w:tcPr>
            <w:tcW w:w="2734"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本期增加</w:t>
            </w:r>
          </w:p>
        </w:tc>
        <w:tc>
          <w:tcPr>
            <w:tcW w:w="2734"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本期减少</w:t>
            </w:r>
          </w:p>
        </w:tc>
        <w:tc>
          <w:tcPr>
            <w:tcW w:w="1367"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left"/>
              <w:rPr>
                <w:rFonts w:eastAsia="Times New Roman" w:cs="Times New Roman"/>
              </w:rPr>
            </w:pPr>
            <w:r>
              <w:rPr>
                <w:rFonts w:hint="eastAsia"/>
              </w:rPr>
              <w:lastRenderedPageBreak/>
              <w:t>劳雷海洋系统有限公司及</w:t>
            </w:r>
            <w:r>
              <w:rPr>
                <w:rFonts w:cs="Times New Roman"/>
              </w:rPr>
              <w:t>Summerview Company Limited</w:t>
            </w:r>
            <w:r>
              <w:rPr>
                <w:rFonts w:hint="eastAsia"/>
              </w:rPr>
              <w:t>海洋业务（注</w:t>
            </w:r>
            <w:r>
              <w:rPr>
                <w:rFonts w:cs="Times New Roman"/>
              </w:rPr>
              <w:t>1</w:t>
            </w:r>
            <w:r>
              <w:rPr>
                <w:rFonts w:hint="eastAsia"/>
              </w:rPr>
              <w:t>）</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228,172,762.25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228,172,762.25</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left"/>
              <w:rPr>
                <w:rFonts w:eastAsia="Times New Roman" w:cs="Times New Roman"/>
              </w:rPr>
            </w:pPr>
            <w:r>
              <w:rPr>
                <w:rFonts w:hint="eastAsia"/>
              </w:rPr>
              <w:t>广东蓝图信息技术有限公司（注</w:t>
            </w:r>
            <w:r>
              <w:rPr>
                <w:rFonts w:cs="Times New Roman"/>
              </w:rPr>
              <w:t>2</w:t>
            </w:r>
            <w:r>
              <w:rPr>
                <w:rFonts w:hint="eastAsia"/>
              </w:rPr>
              <w:t>）</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58,010,355.99</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58,010,355.99</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left"/>
              <w:rPr>
                <w:rFonts w:eastAsia="Times New Roman" w:cs="Times New Roman"/>
              </w:rPr>
            </w:pPr>
            <w:r>
              <w:rPr>
                <w:rFonts w:cs="Times New Roman"/>
              </w:rPr>
              <w:t>Rockson Automation GmbH</w:t>
            </w:r>
            <w:r>
              <w:rPr>
                <w:rFonts w:hint="eastAsia"/>
              </w:rPr>
              <w:t>（注</w:t>
            </w:r>
            <w:r>
              <w:rPr>
                <w:rFonts w:cs="Times New Roman"/>
              </w:rPr>
              <w:t>3</w:t>
            </w:r>
            <w:r>
              <w:rPr>
                <w:rFonts w:hint="eastAsia"/>
              </w:rPr>
              <w:t>）</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13,925,186.10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13,925,186.10</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left"/>
              <w:rPr>
                <w:rFonts w:eastAsia="Times New Roman" w:cs="Times New Roman"/>
              </w:rPr>
            </w:pPr>
            <w:r>
              <w:rPr>
                <w:rFonts w:hint="eastAsia"/>
              </w:rPr>
              <w:t>北京海兰信船舶设备有限公司</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1,480,582.88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1,480,582.88</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left"/>
              <w:rPr>
                <w:rFonts w:eastAsia="Times New Roman" w:cs="Times New Roman"/>
              </w:rPr>
            </w:pPr>
            <w:r>
              <w:rPr>
                <w:rFonts w:hint="eastAsia"/>
              </w:rPr>
              <w:t>上海海兰劳雷海洋科技有限公司</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247,149.64</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247,149.64</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left"/>
              <w:rPr>
                <w:rFonts w:eastAsia="Times New Roman" w:cs="Times New Roman"/>
              </w:rPr>
            </w:pPr>
            <w:r>
              <w:rPr>
                <w:rFonts w:hint="eastAsia"/>
              </w:rPr>
              <w:t>成都海兰天澄科技股份有限公司</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70,858.81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70,858.81</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合计</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301,906,895.67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301,906,895.67</w:t>
            </w:r>
          </w:p>
        </w:tc>
      </w:tr>
    </w:tbl>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）商誉减值准备</w:t>
      </w:r>
    </w:p>
    <w:p w:rsidR="00A9288A" w:rsidRDefault="007A4434">
      <w:pPr>
        <w:pStyle w:val="Section"/>
        <w:outlineLvl w:val="2"/>
        <w:rPr>
          <w:rFonts w:eastAsia="Times New Roman" w:cs="Times New Roman"/>
        </w:rPr>
      </w:pPr>
      <w:r>
        <w:rPr>
          <w:rFonts w:cs="Times New Roman"/>
        </w:rPr>
        <w:t>28</w:t>
      </w:r>
      <w:r>
        <w:rPr>
          <w:rFonts w:hint="eastAsia"/>
        </w:rPr>
        <w:t>、长期待摊费用</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594"/>
        <w:gridCol w:w="1596"/>
        <w:gridCol w:w="1594"/>
        <w:gridCol w:w="1594"/>
        <w:gridCol w:w="1594"/>
        <w:gridCol w:w="1594"/>
      </w:tblGrid>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159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本期增加金额</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本期摊销金额</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其他减少金额</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装修费</w:t>
            </w:r>
          </w:p>
        </w:tc>
        <w:tc>
          <w:tcPr>
            <w:tcW w:w="15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986,996.68</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214,864.29</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943.38</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771,189.01</w:t>
            </w: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1596"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986,996.68</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214,864.29</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943.38</w:t>
            </w:r>
          </w:p>
        </w:tc>
        <w:tc>
          <w:tcPr>
            <w:tcW w:w="159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771,189.01</w:t>
            </w:r>
          </w:p>
        </w:tc>
      </w:tr>
    </w:tbl>
    <w:p w:rsidR="00A9288A" w:rsidRDefault="007A4434">
      <w:pPr>
        <w:jc w:val="left"/>
        <w:rPr>
          <w:rFonts w:eastAsia="Times New Roman" w:cs="Times New Roman"/>
        </w:rPr>
      </w:pPr>
      <w:r>
        <w:rPr>
          <w:rFonts w:hint="eastAsia"/>
        </w:rPr>
        <w:t>其他说明</w:t>
      </w:r>
    </w:p>
    <w:p w:rsidR="00A9288A" w:rsidRDefault="007A4434">
      <w:pPr>
        <w:autoSpaceDE w:val="0"/>
        <w:autoSpaceDN w:val="0"/>
        <w:adjustRightInd w:val="0"/>
        <w:spacing w:before="0" w:after="0"/>
        <w:jc w:val="left"/>
        <w:rPr>
          <w:rFonts w:eastAsia="Times New Roman" w:cs="Times New Roman"/>
          <w:kern w:val="0"/>
          <w:sz w:val="21"/>
          <w:szCs w:val="21"/>
          <w:lang w:val="zh-CN"/>
        </w:rPr>
      </w:pPr>
      <w:r>
        <w:rPr>
          <w:rFonts w:ascii="宋体" w:hAnsi="宋体" w:hint="eastAsia"/>
          <w:kern w:val="0"/>
          <w:sz w:val="21"/>
          <w:szCs w:val="21"/>
          <w:lang w:val="zh-CN"/>
        </w:rPr>
        <w:t>注：其他减少额系外币报表折算产生的差异。</w:t>
      </w:r>
    </w:p>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2"/>
        <w:rPr>
          <w:rFonts w:eastAsia="Times New Roman" w:cs="Times New Roman"/>
        </w:rPr>
      </w:pPr>
      <w:r>
        <w:rPr>
          <w:rFonts w:cs="Times New Roman"/>
        </w:rPr>
        <w:t>29</w:t>
      </w:r>
      <w:r>
        <w:rPr>
          <w:rFonts w:hint="eastAsia"/>
        </w:rPr>
        <w:t>、递延所得税资产</w:t>
      </w:r>
      <w:r>
        <w:rPr>
          <w:rFonts w:cs="Times New Roman"/>
        </w:rPr>
        <w:t>/</w:t>
      </w:r>
      <w:r>
        <w:rPr>
          <w:rFonts w:hint="eastAsia"/>
        </w:rPr>
        <w:t>递延所得税负债</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）未经抵销的递延所得税资产</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912"/>
        <w:gridCol w:w="1916"/>
        <w:gridCol w:w="1914"/>
        <w:gridCol w:w="1914"/>
        <w:gridCol w:w="1914"/>
      </w:tblGrid>
      <w:tr w:rsidR="00A9288A">
        <w:tc>
          <w:tcPr>
            <w:tcW w:w="1912"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830"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3828"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r>
      <w:tr w:rsidR="00A9288A">
        <w:tc>
          <w:tcPr>
            <w:tcW w:w="1912"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91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可抵扣暂时性差异</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递延所得税资产</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可抵扣暂时性差异</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递延所得税资产</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资产减值准备</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41,029,994.67</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6,339,927.95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45,290,813.48</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7,049,981.21</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lastRenderedPageBreak/>
              <w:t>内部交易未实现利润</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5,622,405.69</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843,360.86</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可抵扣亏损</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5,414,378.78</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941,647.28</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7,760,020.63</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1,181,265.82</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政府补助</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4,372,424.80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685,863.72</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903,766.53</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165,564.98</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预计负债</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1,699,179.66</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280,364.64</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未实现内部交易损益</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8,439,506.17</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1,318,774.26</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60,955,484.08</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9,566,577.85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59,577,006.33</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9,240,172.87</w:t>
            </w:r>
          </w:p>
        </w:tc>
      </w:tr>
    </w:tbl>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）未经抵销的递延所得税负债</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912"/>
        <w:gridCol w:w="1916"/>
        <w:gridCol w:w="1914"/>
        <w:gridCol w:w="1914"/>
        <w:gridCol w:w="1914"/>
      </w:tblGrid>
      <w:tr w:rsidR="00A9288A">
        <w:tc>
          <w:tcPr>
            <w:tcW w:w="1912"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830"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3828"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r>
      <w:tr w:rsidR="00A9288A">
        <w:tc>
          <w:tcPr>
            <w:tcW w:w="1912"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91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应纳税暂时性差异</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递延所得税负债</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应纳税暂时性差异</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递延所得税负债</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固定资产折旧</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1,284,076.33</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192,611.45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1,831,674.29</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274,751.14</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软件退税</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7,573,409.87</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1,136,011.48</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6,086,401.74</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912,960.26</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无形资产一次性税前抵扣</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26,144,578.67</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4,313,855.48</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35,002,064.87</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5,642,478.41</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7,918,076.03</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1,187,711.40</w:t>
            </w:r>
          </w:p>
        </w:tc>
      </w:tr>
    </w:tbl>
    <w:p w:rsidR="00A9288A" w:rsidRDefault="007A4434">
      <w:pPr>
        <w:pStyle w:val="Section"/>
        <w:outlineLvl w:val="3"/>
        <w:rPr>
          <w:rFonts w:eastAsia="Times New Roman" w:cs="Times New Roman"/>
        </w:rPr>
      </w:pPr>
      <w:r>
        <w:rPr>
          <w:rFonts w:hint="eastAsia"/>
        </w:rPr>
        <w:t>（</w:t>
      </w:r>
      <w:r>
        <w:rPr>
          <w:rFonts w:cs="Times New Roman"/>
        </w:rPr>
        <w:t>3</w:t>
      </w:r>
      <w:r>
        <w:rPr>
          <w:rFonts w:hint="eastAsia"/>
        </w:rPr>
        <w:t>）以抵销后净额列示的递延所得税资产或负债</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912"/>
        <w:gridCol w:w="1916"/>
        <w:gridCol w:w="1914"/>
        <w:gridCol w:w="1914"/>
        <w:gridCol w:w="1914"/>
      </w:tblGrid>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191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递延所得税资产和负债期末互抵金额</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抵销后递延所得税资产或负债期末余额</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递延所得税资产和负债期初互抵金额</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抵销后递延所得税资产或负债期初余额</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递延所得税资产</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91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9,566,577.85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91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9,240,172.87</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递延所得税负债</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91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5,642,478.41</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91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1,187,711.40</w:t>
            </w:r>
          </w:p>
        </w:tc>
      </w:tr>
    </w:tbl>
    <w:p w:rsidR="00A9288A" w:rsidRDefault="007A4434">
      <w:pPr>
        <w:pStyle w:val="Section"/>
        <w:outlineLvl w:val="3"/>
        <w:rPr>
          <w:rFonts w:eastAsia="Times New Roman" w:cs="Times New Roman"/>
        </w:rPr>
      </w:pPr>
      <w:r>
        <w:rPr>
          <w:rFonts w:hint="eastAsia"/>
        </w:rPr>
        <w:t>（</w:t>
      </w:r>
      <w:r>
        <w:rPr>
          <w:rFonts w:cs="Times New Roman"/>
        </w:rPr>
        <w:t>4</w:t>
      </w:r>
      <w:r>
        <w:rPr>
          <w:rFonts w:hint="eastAsia"/>
        </w:rPr>
        <w:t>）未确认递延所得税资产明细</w:t>
      </w:r>
    </w:p>
    <w:p w:rsidR="00A9288A" w:rsidRDefault="007A4434">
      <w:pPr>
        <w:pStyle w:val="Section"/>
        <w:outlineLvl w:val="3"/>
        <w:rPr>
          <w:rFonts w:eastAsia="Times New Roman" w:cs="Times New Roman"/>
        </w:rPr>
      </w:pPr>
      <w:r>
        <w:rPr>
          <w:rFonts w:hint="eastAsia"/>
        </w:rPr>
        <w:t>（</w:t>
      </w:r>
      <w:r>
        <w:rPr>
          <w:rFonts w:cs="Times New Roman"/>
        </w:rPr>
        <w:t>5</w:t>
      </w:r>
      <w:r>
        <w:rPr>
          <w:rFonts w:hint="eastAsia"/>
        </w:rPr>
        <w:t>）未确认递延所得税资产的可抵扣亏损将于以下年度到期</w:t>
      </w:r>
    </w:p>
    <w:p w:rsidR="00A9288A" w:rsidRDefault="007A4434">
      <w:pPr>
        <w:pStyle w:val="Section"/>
        <w:outlineLvl w:val="2"/>
        <w:rPr>
          <w:rFonts w:eastAsia="Times New Roman" w:cs="Times New Roman"/>
        </w:rPr>
      </w:pPr>
      <w:r>
        <w:rPr>
          <w:rFonts w:cs="Times New Roman"/>
        </w:rPr>
        <w:t>30</w:t>
      </w:r>
      <w:r>
        <w:rPr>
          <w:rFonts w:hint="eastAsia"/>
        </w:rPr>
        <w:t>、其他非流动资产</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7"/>
        <w:gridCol w:w="3193"/>
        <w:gridCol w:w="3189"/>
      </w:tblGrid>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预付</w:t>
            </w:r>
            <w:r>
              <w:rPr>
                <w:rFonts w:cs="Times New Roman"/>
              </w:rPr>
              <w:t>S</w:t>
            </w:r>
            <w:r>
              <w:rPr>
                <w:rFonts w:hint="eastAsia"/>
              </w:rPr>
              <w:t>波段雷达项目软件开发款</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12,241,042.21</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预付综合导航系统雷达与海图系统项目软件开发款</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3,339,240.94</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2,196,737.73</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预付船舶操舵模拟软件款项</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1,350,000.00</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lastRenderedPageBreak/>
              <w:t>预付智能雷达网综合监控及信息化系统款项</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2,775,091.36</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6,114,332.30</w:t>
            </w:r>
          </w:p>
        </w:tc>
        <w:tc>
          <w:tcPr>
            <w:tcW w:w="318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15,787,779.94</w:t>
            </w:r>
          </w:p>
        </w:tc>
      </w:tr>
    </w:tbl>
    <w:p w:rsidR="00A9288A" w:rsidRDefault="007A4434">
      <w:pPr>
        <w:pStyle w:val="Section"/>
        <w:outlineLvl w:val="2"/>
        <w:rPr>
          <w:rFonts w:eastAsia="Times New Roman" w:cs="Times New Roman"/>
        </w:rPr>
      </w:pPr>
      <w:r>
        <w:rPr>
          <w:rFonts w:cs="Times New Roman"/>
        </w:rPr>
        <w:t>31</w:t>
      </w:r>
      <w:r>
        <w:rPr>
          <w:rFonts w:hint="eastAsia"/>
        </w:rPr>
        <w:t>、短期借款</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）短期借款分类</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7"/>
        <w:gridCol w:w="3193"/>
        <w:gridCol w:w="3189"/>
      </w:tblGrid>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质押借款</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143,327,000.00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142,103,000.00</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保证借款</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10,000,000.00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39,011,460.97</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153,327,000.00</w:t>
            </w:r>
          </w:p>
        </w:tc>
        <w:tc>
          <w:tcPr>
            <w:tcW w:w="318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181,114,460.97</w:t>
            </w:r>
          </w:p>
        </w:tc>
      </w:tr>
    </w:tbl>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）已逾期未偿还的短期借款情况</w:t>
      </w:r>
    </w:p>
    <w:p w:rsidR="00A9288A" w:rsidRDefault="007A4434">
      <w:pPr>
        <w:pStyle w:val="Section"/>
        <w:outlineLvl w:val="2"/>
        <w:rPr>
          <w:rFonts w:eastAsia="Times New Roman" w:cs="Times New Roman"/>
        </w:rPr>
      </w:pPr>
      <w:r>
        <w:rPr>
          <w:rFonts w:cs="Times New Roman"/>
        </w:rPr>
        <w:t>32</w:t>
      </w:r>
      <w:r>
        <w:rPr>
          <w:rFonts w:hint="eastAsia"/>
        </w:rPr>
        <w:t>、以公允价值计量且其变动计入当期损益的金融负债</w:t>
      </w:r>
    </w:p>
    <w:p w:rsidR="00A9288A" w:rsidRDefault="007A4434">
      <w:pPr>
        <w:pStyle w:val="Section"/>
        <w:outlineLvl w:val="2"/>
        <w:rPr>
          <w:rFonts w:eastAsia="Times New Roman" w:cs="Times New Roman"/>
        </w:rPr>
      </w:pPr>
      <w:r>
        <w:rPr>
          <w:rFonts w:cs="Times New Roman"/>
        </w:rPr>
        <w:t>33</w:t>
      </w:r>
      <w:r>
        <w:rPr>
          <w:rFonts w:hint="eastAsia"/>
        </w:rPr>
        <w:t>、衍生金融负债</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Section"/>
        <w:outlineLvl w:val="2"/>
        <w:rPr>
          <w:rFonts w:eastAsia="Times New Roman" w:cs="Times New Roman"/>
        </w:rPr>
      </w:pPr>
      <w:r>
        <w:rPr>
          <w:rFonts w:cs="Times New Roman"/>
        </w:rPr>
        <w:t>34</w:t>
      </w:r>
      <w:r>
        <w:rPr>
          <w:rFonts w:hint="eastAsia"/>
        </w:rPr>
        <w:t>、应付票据</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7"/>
        <w:gridCol w:w="3193"/>
        <w:gridCol w:w="3189"/>
      </w:tblGrid>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种类</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商业承兑汇票</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68,000,000.00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68,000,000.00</w:t>
            </w:r>
          </w:p>
        </w:tc>
        <w:tc>
          <w:tcPr>
            <w:tcW w:w="3189" w:type="dxa"/>
            <w:tcBorders>
              <w:top w:val="single" w:sz="4" w:space="0" w:color="auto"/>
              <w:left w:val="single" w:sz="4" w:space="0" w:color="auto"/>
              <w:bottom w:val="single" w:sz="4" w:space="0" w:color="auto"/>
              <w:right w:val="single" w:sz="4" w:space="0" w:color="auto"/>
            </w:tcBorders>
            <w:vAlign w:val="center"/>
          </w:tcPr>
          <w:p w:rsidR="00A9288A" w:rsidRDefault="00A9288A">
            <w:pPr>
              <w:jc w:val="right"/>
              <w:rPr>
                <w:rFonts w:cs="Times New Roman"/>
              </w:rPr>
            </w:pPr>
          </w:p>
        </w:tc>
      </w:tr>
    </w:tbl>
    <w:p w:rsidR="00A9288A" w:rsidRDefault="007A4434">
      <w:pPr>
        <w:jc w:val="left"/>
        <w:rPr>
          <w:rFonts w:eastAsia="Times New Roman" w:cs="Times New Roman"/>
        </w:rPr>
      </w:pPr>
      <w:r>
        <w:rPr>
          <w:rFonts w:hint="eastAsia"/>
        </w:rPr>
        <w:t>本期末已到期未支付的应付票据总额为元。</w:t>
      </w:r>
    </w:p>
    <w:p w:rsidR="00A9288A" w:rsidRDefault="007A4434">
      <w:pPr>
        <w:pStyle w:val="Section"/>
        <w:outlineLvl w:val="2"/>
        <w:rPr>
          <w:rFonts w:eastAsia="Times New Roman" w:cs="Times New Roman"/>
        </w:rPr>
      </w:pPr>
      <w:r>
        <w:rPr>
          <w:rFonts w:cs="Times New Roman"/>
        </w:rPr>
        <w:t>35</w:t>
      </w:r>
      <w:r>
        <w:rPr>
          <w:rFonts w:hint="eastAsia"/>
        </w:rPr>
        <w:t>、应付账款</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）应付账款列示</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7"/>
        <w:gridCol w:w="3193"/>
        <w:gridCol w:w="3189"/>
      </w:tblGrid>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合计</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149,551,785.21</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106,619,789.99</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149,551,785.21</w:t>
            </w:r>
          </w:p>
        </w:tc>
        <w:tc>
          <w:tcPr>
            <w:tcW w:w="318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106,619,789.99</w:t>
            </w:r>
          </w:p>
        </w:tc>
      </w:tr>
    </w:tbl>
    <w:p w:rsidR="00A9288A" w:rsidRDefault="007A4434">
      <w:pPr>
        <w:pStyle w:val="Section"/>
        <w:outlineLvl w:val="3"/>
        <w:rPr>
          <w:rFonts w:eastAsia="Times New Roman" w:cs="Times New Roman"/>
        </w:rPr>
      </w:pPr>
      <w:r>
        <w:rPr>
          <w:rFonts w:hint="eastAsia"/>
        </w:rPr>
        <w:lastRenderedPageBreak/>
        <w:t>（</w:t>
      </w:r>
      <w:r>
        <w:rPr>
          <w:rFonts w:cs="Times New Roman"/>
        </w:rPr>
        <w:t>2</w:t>
      </w:r>
      <w:r>
        <w:rPr>
          <w:rFonts w:hint="eastAsia"/>
        </w:rPr>
        <w:t>）账龄超过</w:t>
      </w:r>
      <w:r>
        <w:rPr>
          <w:rFonts w:cs="Times New Roman"/>
        </w:rPr>
        <w:t>1</w:t>
      </w:r>
      <w:r>
        <w:rPr>
          <w:rFonts w:hint="eastAsia"/>
        </w:rPr>
        <w:t>年的重要应付账款</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7"/>
        <w:gridCol w:w="3193"/>
        <w:gridCol w:w="3189"/>
      </w:tblGrid>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未偿还或结转的原因</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供应商一</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5,250,000.00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未结算</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供应商二</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5,113,376.24</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未结算</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供应商三</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3,774,770.30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未结算</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供应商四</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2,500,112.16</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未结算</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供应商五</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2,191,855.00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未结算</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18,830,113.70</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r>
    </w:tbl>
    <w:p w:rsidR="00A9288A" w:rsidRDefault="007A4434">
      <w:pPr>
        <w:jc w:val="left"/>
        <w:rPr>
          <w:rFonts w:eastAsia="Times New Roman" w:cs="Times New Roman"/>
        </w:rPr>
      </w:pPr>
      <w:r>
        <w:rPr>
          <w:rFonts w:hint="eastAsia"/>
        </w:rPr>
        <w:t>其他说明：</w:t>
      </w:r>
    </w:p>
    <w:p w:rsidR="00A9288A" w:rsidRDefault="007A4434">
      <w:pPr>
        <w:pStyle w:val="Section"/>
        <w:outlineLvl w:val="2"/>
        <w:rPr>
          <w:rFonts w:eastAsia="Times New Roman" w:cs="Times New Roman"/>
        </w:rPr>
      </w:pPr>
      <w:r>
        <w:rPr>
          <w:rFonts w:cs="Times New Roman"/>
        </w:rPr>
        <w:t>36</w:t>
      </w:r>
      <w:r>
        <w:rPr>
          <w:rFonts w:hint="eastAsia"/>
        </w:rPr>
        <w:t>、预收款项</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）预收款项列示</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7"/>
        <w:gridCol w:w="3193"/>
        <w:gridCol w:w="3189"/>
      </w:tblGrid>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合计</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57,046,204.40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61,186,528.51</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57,046,204.40</w:t>
            </w:r>
          </w:p>
        </w:tc>
        <w:tc>
          <w:tcPr>
            <w:tcW w:w="318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61,186,528.51</w:t>
            </w:r>
          </w:p>
        </w:tc>
      </w:tr>
    </w:tbl>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）账龄超过</w:t>
      </w:r>
      <w:r>
        <w:rPr>
          <w:rFonts w:cs="Times New Roman"/>
        </w:rPr>
        <w:t>1</w:t>
      </w:r>
      <w:r>
        <w:rPr>
          <w:rFonts w:hint="eastAsia"/>
        </w:rPr>
        <w:t>年的重要预收款项</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7"/>
        <w:gridCol w:w="3193"/>
        <w:gridCol w:w="3189"/>
      </w:tblGrid>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未偿还或结转的原因</w:t>
            </w:r>
          </w:p>
        </w:tc>
      </w:tr>
    </w:tbl>
    <w:p w:rsidR="00A9288A" w:rsidRDefault="007A4434">
      <w:pPr>
        <w:pStyle w:val="Section"/>
        <w:outlineLvl w:val="3"/>
        <w:rPr>
          <w:rFonts w:eastAsia="Times New Roman" w:cs="Times New Roman"/>
        </w:rPr>
      </w:pPr>
      <w:r>
        <w:rPr>
          <w:rFonts w:hint="eastAsia"/>
        </w:rPr>
        <w:t>（</w:t>
      </w:r>
      <w:r>
        <w:rPr>
          <w:rFonts w:cs="Times New Roman"/>
        </w:rPr>
        <w:t>3</w:t>
      </w:r>
      <w:r>
        <w:rPr>
          <w:rFonts w:hint="eastAsia"/>
        </w:rPr>
        <w:t>）期末建造合同形成的已结算未完工项目情况</w:t>
      </w:r>
    </w:p>
    <w:p w:rsidR="00A9288A" w:rsidRDefault="007A4434">
      <w:pPr>
        <w:pStyle w:val="Section"/>
        <w:outlineLvl w:val="2"/>
        <w:rPr>
          <w:rFonts w:eastAsia="Times New Roman" w:cs="Times New Roman"/>
        </w:rPr>
      </w:pPr>
      <w:r>
        <w:rPr>
          <w:rFonts w:cs="Times New Roman"/>
        </w:rPr>
        <w:t>37</w:t>
      </w:r>
      <w:r>
        <w:rPr>
          <w:rFonts w:hint="eastAsia"/>
        </w:rPr>
        <w:t>、应付职工薪酬</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）应付职工薪酬列示</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912"/>
        <w:gridCol w:w="1916"/>
        <w:gridCol w:w="1914"/>
        <w:gridCol w:w="1914"/>
        <w:gridCol w:w="1914"/>
      </w:tblGrid>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191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本期增加</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本期减少</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一、短期薪酬</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4,693,924.90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46,198,299.35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46,880,001.78</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4,012,222.47</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二、离职后福利</w:t>
            </w:r>
            <w:r>
              <w:rPr>
                <w:rFonts w:eastAsia="Times New Roman" w:cs="Times New Roman"/>
              </w:rPr>
              <w:t>-</w:t>
            </w:r>
            <w:r>
              <w:rPr>
                <w:rFonts w:hint="eastAsia"/>
              </w:rPr>
              <w:t>设定提存计划</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241,166.96</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3,025,729.18</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3,056,229.90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210,666.24</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三、辞退福利</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59,000.00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59,000.00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1916"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4,935,091.86</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49,283,028.53</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49,995,231.68</w:t>
            </w:r>
          </w:p>
        </w:tc>
        <w:tc>
          <w:tcPr>
            <w:tcW w:w="191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4,222,888.71</w:t>
            </w:r>
          </w:p>
        </w:tc>
      </w:tr>
    </w:tbl>
    <w:p w:rsidR="00A9288A" w:rsidRDefault="007A4434">
      <w:pPr>
        <w:pStyle w:val="Section"/>
        <w:outlineLvl w:val="3"/>
        <w:rPr>
          <w:rFonts w:eastAsia="Times New Roman" w:cs="Times New Roman"/>
        </w:rPr>
      </w:pPr>
      <w:r>
        <w:rPr>
          <w:rFonts w:hint="eastAsia"/>
        </w:rPr>
        <w:lastRenderedPageBreak/>
        <w:t>（</w:t>
      </w:r>
      <w:r>
        <w:rPr>
          <w:rFonts w:cs="Times New Roman"/>
        </w:rPr>
        <w:t>2</w:t>
      </w:r>
      <w:r>
        <w:rPr>
          <w:rFonts w:hint="eastAsia"/>
        </w:rPr>
        <w:t>）短期薪酬列示</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912"/>
        <w:gridCol w:w="1916"/>
        <w:gridCol w:w="1914"/>
        <w:gridCol w:w="1914"/>
        <w:gridCol w:w="1914"/>
      </w:tblGrid>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191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本期增加</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本期减少</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、工资、奖金、津贴和补贴</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3,189,190.20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40,050,334.71</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40,196,858.90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3,042,666.01</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2</w:t>
            </w:r>
            <w:r>
              <w:rPr>
                <w:rFonts w:hint="eastAsia"/>
              </w:rPr>
              <w:t>、职工福利费</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573,517.35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573,517.35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3</w:t>
            </w:r>
            <w:r>
              <w:rPr>
                <w:rFonts w:hint="eastAsia"/>
              </w:rPr>
              <w:t>、社会保险费</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150,943.32</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2,818,156.22</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2,836,267.00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132,832.54</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其中：医疗保险费</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137,209.82</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2,639,413.25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2,655,227.66</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121,395.41</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工伤保险费</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3,756.03</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67,141.70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67,565.68</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3,332.05</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生育保险费</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9,977.47</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111,601.27</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113,473.66</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8,105.08</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4</w:t>
            </w:r>
            <w:r>
              <w:rPr>
                <w:rFonts w:hint="eastAsia"/>
              </w:rPr>
              <w:t>、住房公积金</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26,964.00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2,481,760.36</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2,483,637.36</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25,087.00</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5</w:t>
            </w:r>
            <w:r>
              <w:rPr>
                <w:rFonts w:hint="eastAsia"/>
              </w:rPr>
              <w:t>、工会经费和职工教育经费</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1,304,135.17</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274,530.71</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767,028.96</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811,636.92</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8</w:t>
            </w:r>
            <w:r>
              <w:rPr>
                <w:rFonts w:hint="eastAsia"/>
              </w:rPr>
              <w:t>、其他短期薪酬</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22,692.21</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22,692.21</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1916"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4,693,924.90</w:t>
            </w:r>
          </w:p>
        </w:tc>
        <w:tc>
          <w:tcPr>
            <w:tcW w:w="191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46,198,299.35</w:t>
            </w:r>
          </w:p>
        </w:tc>
        <w:tc>
          <w:tcPr>
            <w:tcW w:w="191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46,880,001.78</w:t>
            </w:r>
          </w:p>
        </w:tc>
        <w:tc>
          <w:tcPr>
            <w:tcW w:w="191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4,012,222.47</w:t>
            </w:r>
          </w:p>
        </w:tc>
      </w:tr>
    </w:tbl>
    <w:p w:rsidR="00A9288A" w:rsidRDefault="007A4434">
      <w:pPr>
        <w:pStyle w:val="Section"/>
        <w:outlineLvl w:val="3"/>
        <w:rPr>
          <w:rFonts w:eastAsia="Times New Roman" w:cs="Times New Roman"/>
        </w:rPr>
      </w:pPr>
      <w:r>
        <w:rPr>
          <w:rFonts w:hint="eastAsia"/>
        </w:rPr>
        <w:t>（</w:t>
      </w:r>
      <w:r>
        <w:rPr>
          <w:rFonts w:cs="Times New Roman"/>
        </w:rPr>
        <w:t>3</w:t>
      </w:r>
      <w:r>
        <w:rPr>
          <w:rFonts w:hint="eastAsia"/>
        </w:rPr>
        <w:t>）设定提存计划列示</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912"/>
        <w:gridCol w:w="1916"/>
        <w:gridCol w:w="1914"/>
        <w:gridCol w:w="1914"/>
        <w:gridCol w:w="1914"/>
      </w:tblGrid>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191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本期增加</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本期减少</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、基本养老保险</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231,422.85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2,916,553.87</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2,945,437.45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202,539.27</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2</w:t>
            </w:r>
            <w:r>
              <w:rPr>
                <w:rFonts w:hint="eastAsia"/>
              </w:rPr>
              <w:t>、失业保险费</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9,744.11</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109,175.31</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110,792.45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8,126.97</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1916"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241,166.96</w:t>
            </w:r>
          </w:p>
        </w:tc>
        <w:tc>
          <w:tcPr>
            <w:tcW w:w="191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3,025,729.18</w:t>
            </w:r>
          </w:p>
        </w:tc>
        <w:tc>
          <w:tcPr>
            <w:tcW w:w="191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3,056,229.90</w:t>
            </w:r>
          </w:p>
        </w:tc>
        <w:tc>
          <w:tcPr>
            <w:tcW w:w="191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210,666.24</w:t>
            </w:r>
          </w:p>
        </w:tc>
      </w:tr>
    </w:tbl>
    <w:p w:rsidR="00A9288A" w:rsidRDefault="007A4434">
      <w:pPr>
        <w:jc w:val="left"/>
        <w:rPr>
          <w:rFonts w:eastAsia="Times New Roman" w:cs="Times New Roman"/>
        </w:rPr>
      </w:pPr>
      <w:r>
        <w:rPr>
          <w:rFonts w:hint="eastAsia"/>
        </w:rPr>
        <w:t>其他说明：</w:t>
      </w:r>
    </w:p>
    <w:p w:rsidR="00A9288A" w:rsidRDefault="007A4434">
      <w:pPr>
        <w:pStyle w:val="Section"/>
        <w:outlineLvl w:val="2"/>
        <w:rPr>
          <w:rFonts w:eastAsia="Times New Roman" w:cs="Times New Roman"/>
        </w:rPr>
      </w:pPr>
      <w:r>
        <w:rPr>
          <w:rFonts w:cs="Times New Roman"/>
        </w:rPr>
        <w:t>38</w:t>
      </w:r>
      <w:r>
        <w:rPr>
          <w:rFonts w:hint="eastAsia"/>
        </w:rPr>
        <w:t>、应交税费</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7"/>
        <w:gridCol w:w="3193"/>
        <w:gridCol w:w="3189"/>
      </w:tblGrid>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增值税</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5,701,164.76</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3,986,549.68</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企业所得税</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9,434,991.47</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23,028,073.90</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个人所得税</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463,864.75</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541,243.86</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城市维护建设税</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317,089.94</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228,569.30</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土地使用税</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41,298.00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41,297.16</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房产税</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130,411.05</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78,711.89</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教育费附加</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231,064.91</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153,185.02</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lastRenderedPageBreak/>
              <w:t>其他</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62,854.16</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85,153.73</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16,382,739.04</w:t>
            </w:r>
          </w:p>
        </w:tc>
        <w:tc>
          <w:tcPr>
            <w:tcW w:w="318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28,142,784.54</w:t>
            </w:r>
          </w:p>
        </w:tc>
      </w:tr>
    </w:tbl>
    <w:p w:rsidR="00A9288A" w:rsidRDefault="007A4434">
      <w:pPr>
        <w:jc w:val="left"/>
        <w:rPr>
          <w:rFonts w:eastAsia="Times New Roman" w:cs="Times New Roman"/>
        </w:rPr>
      </w:pPr>
      <w:r>
        <w:rPr>
          <w:rFonts w:hint="eastAsia"/>
        </w:rPr>
        <w:t>其他说明：</w:t>
      </w:r>
    </w:p>
    <w:p w:rsidR="00A9288A" w:rsidRDefault="007A4434">
      <w:pPr>
        <w:pStyle w:val="Section"/>
        <w:outlineLvl w:val="2"/>
        <w:rPr>
          <w:rFonts w:eastAsia="Times New Roman" w:cs="Times New Roman"/>
        </w:rPr>
      </w:pPr>
      <w:r>
        <w:rPr>
          <w:rFonts w:cs="Times New Roman"/>
        </w:rPr>
        <w:t>39</w:t>
      </w:r>
      <w:r>
        <w:rPr>
          <w:rFonts w:hint="eastAsia"/>
        </w:rPr>
        <w:t>、应付利息</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7"/>
        <w:gridCol w:w="3193"/>
        <w:gridCol w:w="3189"/>
      </w:tblGrid>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分期付息到期还本的长期借款利息</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218,509.59</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75,693.15</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218,509.59</w:t>
            </w:r>
          </w:p>
        </w:tc>
        <w:tc>
          <w:tcPr>
            <w:tcW w:w="318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75,693.15</w:t>
            </w:r>
          </w:p>
        </w:tc>
      </w:tr>
    </w:tbl>
    <w:p w:rsidR="00A9288A" w:rsidRDefault="007A4434">
      <w:pPr>
        <w:pStyle w:val="Section"/>
        <w:outlineLvl w:val="2"/>
        <w:rPr>
          <w:rFonts w:eastAsia="Times New Roman" w:cs="Times New Roman"/>
        </w:rPr>
      </w:pPr>
      <w:r>
        <w:rPr>
          <w:rFonts w:cs="Times New Roman"/>
        </w:rPr>
        <w:t>40</w:t>
      </w:r>
      <w:r>
        <w:rPr>
          <w:rFonts w:hint="eastAsia"/>
        </w:rPr>
        <w:t>、应付股利</w:t>
      </w:r>
    </w:p>
    <w:p w:rsidR="00A9288A" w:rsidRDefault="007A4434">
      <w:pPr>
        <w:pStyle w:val="Section"/>
        <w:outlineLvl w:val="2"/>
        <w:rPr>
          <w:rFonts w:eastAsia="Times New Roman" w:cs="Times New Roman"/>
        </w:rPr>
      </w:pPr>
      <w:r>
        <w:rPr>
          <w:rFonts w:cs="Times New Roman"/>
        </w:rPr>
        <w:t>41</w:t>
      </w:r>
      <w:r>
        <w:rPr>
          <w:rFonts w:hint="eastAsia"/>
        </w:rPr>
        <w:t>、其他应付款</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）按款项性质列示其他应付款</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7"/>
        <w:gridCol w:w="3193"/>
        <w:gridCol w:w="3189"/>
      </w:tblGrid>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股权收购款（注</w:t>
            </w:r>
            <w:r>
              <w:rPr>
                <w:rFonts w:cs="Times New Roman"/>
              </w:rPr>
              <w:t>1</w:t>
            </w:r>
            <w:r>
              <w:rPr>
                <w:rFonts w:hint="eastAsia"/>
              </w:rPr>
              <w:t>）</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9,615,398.24</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待支付款项</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5,588,198.38</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2,072,006.56</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关联方往来款</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4,166.66</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10,000,000.00</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代扣代缴社保</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126,268.46</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150,583.25</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押金</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140,600.00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140,600.00</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其他</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993,173.69</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1,937,799.08</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6,852,407.19</w:t>
            </w:r>
          </w:p>
        </w:tc>
        <w:tc>
          <w:tcPr>
            <w:tcW w:w="318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23,916,387.13</w:t>
            </w:r>
          </w:p>
        </w:tc>
      </w:tr>
    </w:tbl>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）账龄超过</w:t>
      </w:r>
      <w:r>
        <w:rPr>
          <w:rFonts w:cs="Times New Roman"/>
        </w:rPr>
        <w:t>1</w:t>
      </w:r>
      <w:r>
        <w:rPr>
          <w:rFonts w:hint="eastAsia"/>
        </w:rPr>
        <w:t>年的重要其他应付款</w:t>
      </w:r>
    </w:p>
    <w:p w:rsidR="00A9288A" w:rsidRDefault="007A4434">
      <w:pPr>
        <w:pStyle w:val="Section"/>
        <w:outlineLvl w:val="2"/>
        <w:rPr>
          <w:rFonts w:eastAsia="Times New Roman" w:cs="Times New Roman"/>
        </w:rPr>
      </w:pPr>
      <w:r>
        <w:rPr>
          <w:rFonts w:cs="Times New Roman"/>
        </w:rPr>
        <w:t>42</w:t>
      </w:r>
      <w:r>
        <w:rPr>
          <w:rFonts w:hint="eastAsia"/>
        </w:rPr>
        <w:t>、持有待售的负债</w:t>
      </w:r>
    </w:p>
    <w:p w:rsidR="00A9288A" w:rsidRDefault="007A4434">
      <w:pPr>
        <w:pStyle w:val="Section"/>
        <w:outlineLvl w:val="2"/>
        <w:rPr>
          <w:rFonts w:eastAsia="Times New Roman" w:cs="Times New Roman"/>
        </w:rPr>
      </w:pPr>
      <w:r>
        <w:rPr>
          <w:rFonts w:cs="Times New Roman"/>
        </w:rPr>
        <w:t>43</w:t>
      </w:r>
      <w:r>
        <w:rPr>
          <w:rFonts w:hint="eastAsia"/>
        </w:rPr>
        <w:t>、一年内到期的非流动负债</w:t>
      </w:r>
    </w:p>
    <w:p w:rsidR="00A9288A" w:rsidRDefault="007A4434">
      <w:pPr>
        <w:jc w:val="left"/>
        <w:rPr>
          <w:rFonts w:eastAsia="Times New Roman" w:cs="Times New Roman"/>
        </w:rPr>
      </w:pPr>
      <w:r>
        <w:rPr>
          <w:rFonts w:hint="eastAsia"/>
        </w:rPr>
        <w:t>其他说明：</w:t>
      </w:r>
    </w:p>
    <w:p w:rsidR="00A9288A" w:rsidRDefault="007A4434">
      <w:pPr>
        <w:pStyle w:val="Section"/>
        <w:outlineLvl w:val="2"/>
        <w:rPr>
          <w:rFonts w:eastAsia="Times New Roman" w:cs="Times New Roman"/>
        </w:rPr>
      </w:pPr>
      <w:r>
        <w:rPr>
          <w:rFonts w:cs="Times New Roman"/>
        </w:rPr>
        <w:t>44</w:t>
      </w:r>
      <w:r>
        <w:rPr>
          <w:rFonts w:hint="eastAsia"/>
        </w:rPr>
        <w:t>、其他流动负债</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7"/>
        <w:gridCol w:w="3193"/>
        <w:gridCol w:w="3189"/>
      </w:tblGrid>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产品的质量保证金</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76,515.00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78,023.00</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lastRenderedPageBreak/>
              <w:t>应付中介费</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619,006.35</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631,206.07</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695,521.35</w:t>
            </w:r>
          </w:p>
        </w:tc>
        <w:tc>
          <w:tcPr>
            <w:tcW w:w="318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709,229.07</w:t>
            </w:r>
          </w:p>
        </w:tc>
      </w:tr>
    </w:tbl>
    <w:p w:rsidR="00A9288A" w:rsidRDefault="007A4434">
      <w:pPr>
        <w:pStyle w:val="Section"/>
        <w:outlineLvl w:val="2"/>
        <w:rPr>
          <w:rFonts w:eastAsia="Times New Roman" w:cs="Times New Roman"/>
        </w:rPr>
      </w:pPr>
      <w:r>
        <w:rPr>
          <w:rFonts w:cs="Times New Roman"/>
        </w:rPr>
        <w:t>45</w:t>
      </w:r>
      <w:r>
        <w:rPr>
          <w:rFonts w:hint="eastAsia"/>
        </w:rPr>
        <w:t>、长期借款</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）长期借款分类</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7"/>
        <w:gridCol w:w="3193"/>
        <w:gridCol w:w="3189"/>
      </w:tblGrid>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保证借款</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25,147,724.40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25,634,830.00</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25,147,724.40</w:t>
            </w:r>
          </w:p>
        </w:tc>
        <w:tc>
          <w:tcPr>
            <w:tcW w:w="318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25,634,830.00</w:t>
            </w:r>
          </w:p>
        </w:tc>
      </w:tr>
    </w:tbl>
    <w:p w:rsidR="00A9288A" w:rsidRDefault="007A4434">
      <w:pPr>
        <w:jc w:val="left"/>
        <w:rPr>
          <w:rFonts w:eastAsia="Times New Roman" w:cs="Times New Roman"/>
        </w:rPr>
      </w:pPr>
      <w:r>
        <w:rPr>
          <w:rFonts w:hint="eastAsia"/>
        </w:rPr>
        <w:t>长期借款分类的说明：</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本公司期末保证借款中</w:t>
      </w:r>
      <w:r>
        <w:rPr>
          <w:rFonts w:eastAsia="Times New Roman" w:cs="Times New Roman"/>
          <w:kern w:val="0"/>
          <w:sz w:val="21"/>
          <w:szCs w:val="21"/>
          <w:lang w:val="en-GB"/>
        </w:rPr>
        <w:t>2,400</w:t>
      </w:r>
      <w:r>
        <w:rPr>
          <w:rFonts w:ascii="宋体" w:hAnsi="宋体" w:hint="eastAsia"/>
          <w:kern w:val="0"/>
          <w:sz w:val="21"/>
          <w:szCs w:val="21"/>
          <w:lang w:val="zh-CN"/>
        </w:rPr>
        <w:t>万元系应付国开发展基金有限公司的长期借款，由北京中关村科技融资担保有限公司提供第三方连带责任保证担保。同时由本公司以北京市海淀区环保科技园</w:t>
      </w:r>
      <w:r>
        <w:rPr>
          <w:rFonts w:eastAsia="Times New Roman" w:cs="Times New Roman"/>
          <w:kern w:val="0"/>
          <w:sz w:val="21"/>
          <w:szCs w:val="21"/>
          <w:lang w:val="en-GB"/>
        </w:rPr>
        <w:t>7</w:t>
      </w:r>
      <w:r>
        <w:rPr>
          <w:rFonts w:ascii="宋体" w:hAnsi="宋体" w:hint="eastAsia"/>
          <w:kern w:val="0"/>
          <w:sz w:val="21"/>
          <w:szCs w:val="21"/>
          <w:lang w:val="zh-CN"/>
        </w:rPr>
        <w:t>号院</w:t>
      </w:r>
      <w:r>
        <w:rPr>
          <w:rFonts w:eastAsia="Times New Roman" w:cs="Times New Roman"/>
          <w:kern w:val="0"/>
          <w:sz w:val="21"/>
          <w:szCs w:val="21"/>
          <w:lang w:val="en-GB"/>
        </w:rPr>
        <w:t>10</w:t>
      </w:r>
      <w:r>
        <w:rPr>
          <w:rFonts w:ascii="宋体" w:hAnsi="宋体" w:hint="eastAsia"/>
          <w:kern w:val="0"/>
          <w:sz w:val="21"/>
          <w:szCs w:val="21"/>
          <w:lang w:val="zh-CN"/>
        </w:rPr>
        <w:t>号楼的自有房产（</w:t>
      </w:r>
      <w:r>
        <w:rPr>
          <w:rFonts w:eastAsia="Times New Roman" w:cs="Times New Roman"/>
          <w:kern w:val="0"/>
          <w:sz w:val="21"/>
          <w:szCs w:val="21"/>
          <w:lang w:val="en-GB"/>
        </w:rPr>
        <w:t>2018</w:t>
      </w:r>
      <w:r>
        <w:rPr>
          <w:rFonts w:ascii="宋体" w:hAnsi="宋体" w:hint="eastAsia"/>
          <w:kern w:val="0"/>
          <w:sz w:val="21"/>
          <w:szCs w:val="21"/>
          <w:lang w:val="zh-CN"/>
        </w:rPr>
        <w:t>年</w:t>
      </w:r>
      <w:r>
        <w:rPr>
          <w:rFonts w:eastAsia="Times New Roman" w:cs="Times New Roman"/>
          <w:kern w:val="0"/>
          <w:sz w:val="21"/>
          <w:szCs w:val="21"/>
          <w:lang w:val="en-GB"/>
        </w:rPr>
        <w:t>6</w:t>
      </w:r>
      <w:r>
        <w:rPr>
          <w:rFonts w:ascii="宋体" w:hAnsi="宋体" w:hint="eastAsia"/>
          <w:kern w:val="0"/>
          <w:sz w:val="21"/>
          <w:szCs w:val="21"/>
          <w:lang w:val="zh-CN"/>
        </w:rPr>
        <w:t>月</w:t>
      </w:r>
      <w:r>
        <w:rPr>
          <w:rFonts w:eastAsia="Times New Roman" w:cs="Times New Roman"/>
          <w:kern w:val="0"/>
          <w:sz w:val="21"/>
          <w:szCs w:val="21"/>
          <w:lang w:val="en-GB"/>
        </w:rPr>
        <w:t>30</w:t>
      </w:r>
      <w:r>
        <w:rPr>
          <w:rFonts w:ascii="宋体" w:hAnsi="宋体" w:hint="eastAsia"/>
          <w:kern w:val="0"/>
          <w:sz w:val="21"/>
          <w:szCs w:val="21"/>
          <w:lang w:val="zh-CN"/>
        </w:rPr>
        <w:t>日账面价值为</w:t>
      </w:r>
      <w:r>
        <w:rPr>
          <w:rFonts w:eastAsia="Times New Roman" w:cs="Times New Roman"/>
          <w:kern w:val="0"/>
          <w:sz w:val="21"/>
          <w:szCs w:val="21"/>
          <w:lang w:val="en-GB"/>
        </w:rPr>
        <w:t>29,568,166.60</w:t>
      </w:r>
      <w:r>
        <w:rPr>
          <w:rFonts w:ascii="宋体" w:hAnsi="宋体" w:hint="eastAsia"/>
          <w:kern w:val="0"/>
          <w:sz w:val="21"/>
          <w:szCs w:val="21"/>
          <w:lang w:val="zh-CN"/>
        </w:rPr>
        <w:t>元）向北京中关村科技融资担保有限公司提供抵押反担保，担保金额</w:t>
      </w:r>
      <w:r>
        <w:rPr>
          <w:rFonts w:eastAsia="Times New Roman" w:cs="Times New Roman"/>
          <w:kern w:val="0"/>
          <w:sz w:val="21"/>
          <w:szCs w:val="21"/>
          <w:lang w:val="en-GB"/>
        </w:rPr>
        <w:t>2,400</w:t>
      </w:r>
      <w:r>
        <w:rPr>
          <w:rFonts w:ascii="宋体" w:hAnsi="宋体" w:hint="eastAsia"/>
          <w:kern w:val="0"/>
          <w:sz w:val="21"/>
          <w:szCs w:val="21"/>
          <w:lang w:val="zh-CN"/>
        </w:rPr>
        <w:t>万元，担保期限为</w:t>
      </w:r>
      <w:r>
        <w:rPr>
          <w:rFonts w:eastAsia="Times New Roman" w:cs="Times New Roman"/>
          <w:kern w:val="0"/>
          <w:sz w:val="21"/>
          <w:szCs w:val="21"/>
          <w:lang w:val="en-GB"/>
        </w:rPr>
        <w:t>10</w:t>
      </w:r>
      <w:r>
        <w:rPr>
          <w:rFonts w:ascii="宋体" w:hAnsi="宋体" w:hint="eastAsia"/>
          <w:kern w:val="0"/>
          <w:sz w:val="21"/>
          <w:szCs w:val="21"/>
          <w:lang w:val="zh-CN"/>
        </w:rPr>
        <w:t>年。截至本报告出具日，上述房产尚未办理抵押登记手续。</w:t>
      </w:r>
    </w:p>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jc w:val="left"/>
        <w:rPr>
          <w:rFonts w:eastAsia="Times New Roman" w:cs="Times New Roman"/>
        </w:rPr>
      </w:pPr>
      <w:r>
        <w:rPr>
          <w:rFonts w:hint="eastAsia"/>
        </w:rPr>
        <w:t>其他说明，包括利率区间：</w:t>
      </w:r>
    </w:p>
    <w:p w:rsidR="00A9288A" w:rsidRDefault="007A4434">
      <w:pPr>
        <w:pStyle w:val="Section"/>
        <w:outlineLvl w:val="2"/>
        <w:rPr>
          <w:rFonts w:eastAsia="Times New Roman" w:cs="Times New Roman"/>
        </w:rPr>
      </w:pPr>
      <w:r>
        <w:rPr>
          <w:rFonts w:cs="Times New Roman"/>
        </w:rPr>
        <w:t>46</w:t>
      </w:r>
      <w:r>
        <w:rPr>
          <w:rFonts w:hint="eastAsia"/>
        </w:rPr>
        <w:t>、应付债券</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）应付债券</w:t>
      </w: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）应付债券的增减变动（不包括划分为金融负债的优先股、永续债等其他金融工具）</w:t>
      </w:r>
    </w:p>
    <w:p w:rsidR="00A9288A" w:rsidRDefault="007A4434">
      <w:pPr>
        <w:pStyle w:val="Section"/>
        <w:outlineLvl w:val="3"/>
        <w:rPr>
          <w:rFonts w:eastAsia="Times New Roman" w:cs="Times New Roman"/>
        </w:rPr>
      </w:pPr>
      <w:r>
        <w:rPr>
          <w:rFonts w:hint="eastAsia"/>
        </w:rPr>
        <w:t>（</w:t>
      </w:r>
      <w:r>
        <w:rPr>
          <w:rFonts w:cs="Times New Roman"/>
        </w:rPr>
        <w:t>3</w:t>
      </w:r>
      <w:r>
        <w:rPr>
          <w:rFonts w:hint="eastAsia"/>
        </w:rPr>
        <w:t>）可转换公司债券的转股条件、转股时间说明</w:t>
      </w:r>
    </w:p>
    <w:p w:rsidR="00A9288A" w:rsidRDefault="007A4434">
      <w:pPr>
        <w:pStyle w:val="Section"/>
        <w:outlineLvl w:val="3"/>
        <w:rPr>
          <w:rFonts w:eastAsia="Times New Roman" w:cs="Times New Roman"/>
        </w:rPr>
      </w:pPr>
      <w:r>
        <w:rPr>
          <w:rFonts w:hint="eastAsia"/>
        </w:rPr>
        <w:t>（</w:t>
      </w:r>
      <w:r>
        <w:rPr>
          <w:rFonts w:cs="Times New Roman"/>
        </w:rPr>
        <w:t>4</w:t>
      </w:r>
      <w:r>
        <w:rPr>
          <w:rFonts w:hint="eastAsia"/>
        </w:rPr>
        <w:t>）划分为金融负债的其他金融工具说明</w:t>
      </w:r>
    </w:p>
    <w:p w:rsidR="00A9288A" w:rsidRDefault="007A4434">
      <w:pPr>
        <w:jc w:val="left"/>
        <w:rPr>
          <w:rFonts w:eastAsia="Times New Roman" w:cs="Times New Roman"/>
        </w:rPr>
      </w:pPr>
      <w:r>
        <w:rPr>
          <w:rFonts w:hint="eastAsia"/>
        </w:rPr>
        <w:t>期末发行在外的优先股、永续债等其他金融工具基本情况</w:t>
      </w:r>
    </w:p>
    <w:p w:rsidR="00A9288A" w:rsidRDefault="007A4434">
      <w:pPr>
        <w:jc w:val="left"/>
        <w:rPr>
          <w:rFonts w:eastAsia="Times New Roman" w:cs="Times New Roman"/>
        </w:rPr>
      </w:pPr>
      <w:r>
        <w:rPr>
          <w:rFonts w:hint="eastAsia"/>
        </w:rPr>
        <w:t>期末发行在外的优先股、永续债等金融工具变动情况表</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065"/>
        <w:gridCol w:w="1067"/>
        <w:gridCol w:w="1063"/>
        <w:gridCol w:w="1063"/>
        <w:gridCol w:w="1063"/>
        <w:gridCol w:w="1062"/>
        <w:gridCol w:w="1062"/>
        <w:gridCol w:w="1062"/>
        <w:gridCol w:w="1062"/>
      </w:tblGrid>
      <w:tr w:rsidR="00A9288A">
        <w:tc>
          <w:tcPr>
            <w:tcW w:w="1065"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发行在外的金融工具</w:t>
            </w:r>
          </w:p>
        </w:tc>
        <w:tc>
          <w:tcPr>
            <w:tcW w:w="2130"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w:t>
            </w:r>
          </w:p>
        </w:tc>
        <w:tc>
          <w:tcPr>
            <w:tcW w:w="2126"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本期增加</w:t>
            </w:r>
          </w:p>
        </w:tc>
        <w:tc>
          <w:tcPr>
            <w:tcW w:w="2124"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本期减少</w:t>
            </w:r>
          </w:p>
        </w:tc>
        <w:tc>
          <w:tcPr>
            <w:tcW w:w="2124"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w:t>
            </w:r>
          </w:p>
        </w:tc>
      </w:tr>
      <w:tr w:rsidR="00A9288A">
        <w:tc>
          <w:tcPr>
            <w:tcW w:w="1065"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0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数量</w:t>
            </w:r>
          </w:p>
        </w:tc>
        <w:tc>
          <w:tcPr>
            <w:tcW w:w="106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账面价值</w:t>
            </w:r>
          </w:p>
        </w:tc>
        <w:tc>
          <w:tcPr>
            <w:tcW w:w="106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数量</w:t>
            </w:r>
          </w:p>
        </w:tc>
        <w:tc>
          <w:tcPr>
            <w:tcW w:w="106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账面价值</w:t>
            </w:r>
          </w:p>
        </w:tc>
        <w:tc>
          <w:tcPr>
            <w:tcW w:w="106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数量</w:t>
            </w:r>
          </w:p>
        </w:tc>
        <w:tc>
          <w:tcPr>
            <w:tcW w:w="106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账面价值</w:t>
            </w:r>
          </w:p>
        </w:tc>
        <w:tc>
          <w:tcPr>
            <w:tcW w:w="106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数量</w:t>
            </w:r>
          </w:p>
        </w:tc>
        <w:tc>
          <w:tcPr>
            <w:tcW w:w="106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账面价值</w:t>
            </w:r>
          </w:p>
        </w:tc>
      </w:tr>
    </w:tbl>
    <w:p w:rsidR="00A9288A" w:rsidRDefault="007A4434">
      <w:pPr>
        <w:jc w:val="left"/>
        <w:rPr>
          <w:rFonts w:eastAsia="Times New Roman" w:cs="Times New Roman"/>
        </w:rPr>
      </w:pPr>
      <w:r>
        <w:rPr>
          <w:rFonts w:hint="eastAsia"/>
        </w:rPr>
        <w:t>其他金融工具划分为金融负债的依据说明</w:t>
      </w:r>
    </w:p>
    <w:p w:rsidR="00A9288A" w:rsidRDefault="007A4434">
      <w:pPr>
        <w:jc w:val="left"/>
        <w:rPr>
          <w:rFonts w:eastAsia="Times New Roman" w:cs="Times New Roman"/>
        </w:rPr>
      </w:pPr>
      <w:r>
        <w:rPr>
          <w:rFonts w:hint="eastAsia"/>
        </w:rPr>
        <w:t>其他说明</w:t>
      </w:r>
    </w:p>
    <w:p w:rsidR="00A9288A" w:rsidRDefault="007A4434">
      <w:pPr>
        <w:pStyle w:val="Section"/>
        <w:outlineLvl w:val="2"/>
        <w:rPr>
          <w:rFonts w:eastAsia="Times New Roman" w:cs="Times New Roman"/>
        </w:rPr>
      </w:pPr>
      <w:r>
        <w:rPr>
          <w:rFonts w:cs="Times New Roman"/>
        </w:rPr>
        <w:lastRenderedPageBreak/>
        <w:t>47</w:t>
      </w:r>
      <w:r>
        <w:rPr>
          <w:rFonts w:hint="eastAsia"/>
        </w:rPr>
        <w:t>、长期应付款</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）按款项性质列示长期应付款</w:t>
      </w:r>
    </w:p>
    <w:p w:rsidR="00A9288A" w:rsidRDefault="007A4434">
      <w:pPr>
        <w:pStyle w:val="Section"/>
        <w:outlineLvl w:val="2"/>
        <w:rPr>
          <w:rFonts w:eastAsia="Times New Roman" w:cs="Times New Roman"/>
        </w:rPr>
      </w:pPr>
      <w:r>
        <w:rPr>
          <w:rFonts w:cs="Times New Roman"/>
        </w:rPr>
        <w:t>48</w:t>
      </w:r>
      <w:r>
        <w:rPr>
          <w:rFonts w:hint="eastAsia"/>
        </w:rPr>
        <w:t>、长期应付职工薪酬</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）长期应付职工薪酬表</w:t>
      </w: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）设定受益计划变动情况</w:t>
      </w:r>
    </w:p>
    <w:p w:rsidR="00A9288A" w:rsidRDefault="007A4434">
      <w:pPr>
        <w:pStyle w:val="Section"/>
        <w:outlineLvl w:val="2"/>
        <w:rPr>
          <w:rFonts w:eastAsia="Times New Roman" w:cs="Times New Roman"/>
        </w:rPr>
      </w:pPr>
      <w:r>
        <w:rPr>
          <w:rFonts w:cs="Times New Roman"/>
        </w:rPr>
        <w:t>49</w:t>
      </w:r>
      <w:r>
        <w:rPr>
          <w:rFonts w:hint="eastAsia"/>
        </w:rPr>
        <w:t>、专项应付款</w:t>
      </w:r>
    </w:p>
    <w:p w:rsidR="00A9288A" w:rsidRDefault="007A4434">
      <w:pPr>
        <w:pStyle w:val="Section"/>
        <w:outlineLvl w:val="2"/>
        <w:rPr>
          <w:rFonts w:eastAsia="Times New Roman" w:cs="Times New Roman"/>
        </w:rPr>
      </w:pPr>
      <w:r>
        <w:rPr>
          <w:rFonts w:cs="Times New Roman"/>
        </w:rPr>
        <w:t>50</w:t>
      </w:r>
      <w:r>
        <w:rPr>
          <w:rFonts w:hint="eastAsia"/>
        </w:rPr>
        <w:t>、预计负债</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2389"/>
        <w:gridCol w:w="2395"/>
        <w:gridCol w:w="2392"/>
        <w:gridCol w:w="2392"/>
      </w:tblGrid>
      <w:tr w:rsidR="00A9288A">
        <w:tc>
          <w:tcPr>
            <w:tcW w:w="23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239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形成原因</w:t>
            </w:r>
          </w:p>
        </w:tc>
      </w:tr>
      <w:tr w:rsidR="00A9288A">
        <w:tc>
          <w:tcPr>
            <w:tcW w:w="23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产品质量保证</w:t>
            </w:r>
          </w:p>
        </w:tc>
        <w:tc>
          <w:tcPr>
            <w:tcW w:w="23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1,699,179.66</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1,092,869.92</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预提产品质量保证金</w:t>
            </w:r>
          </w:p>
        </w:tc>
      </w:tr>
      <w:tr w:rsidR="00A9288A">
        <w:tc>
          <w:tcPr>
            <w:tcW w:w="23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其他</w:t>
            </w:r>
          </w:p>
        </w:tc>
        <w:tc>
          <w:tcPr>
            <w:tcW w:w="23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15,701,347.68</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15,372,156.30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r>
      <w:tr w:rsidR="00A9288A">
        <w:tc>
          <w:tcPr>
            <w:tcW w:w="23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ind w:firstLineChars="200" w:firstLine="360"/>
              <w:jc w:val="left"/>
              <w:rPr>
                <w:rFonts w:eastAsia="Times New Roman" w:cs="Times New Roman"/>
              </w:rPr>
            </w:pPr>
            <w:r>
              <w:rPr>
                <w:rFonts w:hint="eastAsia"/>
              </w:rPr>
              <w:t>股权收购款</w:t>
            </w:r>
          </w:p>
        </w:tc>
        <w:tc>
          <w:tcPr>
            <w:tcW w:w="23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15,701,347.68</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15,372,156.30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股权转让协议约定收购款</w:t>
            </w:r>
          </w:p>
        </w:tc>
      </w:tr>
      <w:tr w:rsidR="00A9288A">
        <w:tc>
          <w:tcPr>
            <w:tcW w:w="23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2395"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17,400,527.34</w:t>
            </w:r>
          </w:p>
        </w:tc>
        <w:tc>
          <w:tcPr>
            <w:tcW w:w="2392"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16,465,026.22</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r>
    </w:tbl>
    <w:p w:rsidR="00A9288A" w:rsidRDefault="007A4434">
      <w:pPr>
        <w:pStyle w:val="Section"/>
        <w:outlineLvl w:val="2"/>
        <w:rPr>
          <w:rFonts w:eastAsia="Times New Roman" w:cs="Times New Roman"/>
        </w:rPr>
      </w:pPr>
      <w:r>
        <w:rPr>
          <w:rFonts w:cs="Times New Roman"/>
        </w:rPr>
        <w:t>51</w:t>
      </w:r>
      <w:r>
        <w:rPr>
          <w:rFonts w:hint="eastAsia"/>
        </w:rPr>
        <w:t>、递延收益</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594"/>
        <w:gridCol w:w="1596"/>
        <w:gridCol w:w="1594"/>
        <w:gridCol w:w="1594"/>
        <w:gridCol w:w="1594"/>
        <w:gridCol w:w="1594"/>
      </w:tblGrid>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159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本期增加</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本期减少</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形成原因</w:t>
            </w: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政府补助</w:t>
            </w:r>
          </w:p>
        </w:tc>
        <w:tc>
          <w:tcPr>
            <w:tcW w:w="15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26,031,008.61</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14,250,000.00</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17,500,264.48</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22,780,744.13</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与资产</w:t>
            </w:r>
            <w:r>
              <w:rPr>
                <w:rFonts w:cs="Times New Roman"/>
              </w:rPr>
              <w:t>/</w:t>
            </w:r>
            <w:r>
              <w:rPr>
                <w:rFonts w:hint="eastAsia"/>
              </w:rPr>
              <w:t>收益相关</w:t>
            </w:r>
          </w:p>
        </w:tc>
      </w:tr>
      <w:tr w:rsidR="00A9288A">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1596"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26,031,008.61</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14,250,000.00</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17,500,264.48</w:t>
            </w:r>
          </w:p>
        </w:tc>
        <w:tc>
          <w:tcPr>
            <w:tcW w:w="159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22,780,744.13</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r>
    </w:tbl>
    <w:p w:rsidR="00A9288A" w:rsidRDefault="007A4434">
      <w:pPr>
        <w:jc w:val="left"/>
        <w:rPr>
          <w:rFonts w:eastAsia="Times New Roman" w:cs="Times New Roman"/>
        </w:rPr>
      </w:pPr>
      <w:r>
        <w:rPr>
          <w:rFonts w:hint="eastAsia"/>
        </w:rPr>
        <w:t>涉及政府补助的项目：</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33" w:type="dxa"/>
        <w:tblLayout w:type="fixed"/>
        <w:tblCellMar>
          <w:left w:w="28" w:type="dxa"/>
          <w:right w:w="28" w:type="dxa"/>
        </w:tblCellMar>
        <w:tblLook w:val="0000" w:firstRow="0" w:lastRow="0" w:firstColumn="0" w:lastColumn="0" w:noHBand="0" w:noVBand="0"/>
      </w:tblPr>
      <w:tblGrid>
        <w:gridCol w:w="1066"/>
        <w:gridCol w:w="1091"/>
        <w:gridCol w:w="1091"/>
        <w:gridCol w:w="1066"/>
        <w:gridCol w:w="1091"/>
        <w:gridCol w:w="1066"/>
        <w:gridCol w:w="1066"/>
        <w:gridCol w:w="1091"/>
        <w:gridCol w:w="1066"/>
      </w:tblGrid>
      <w:tr w:rsidR="00A9288A">
        <w:tc>
          <w:tcPr>
            <w:tcW w:w="10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负债项目</w:t>
            </w:r>
          </w:p>
        </w:tc>
        <w:tc>
          <w:tcPr>
            <w:tcW w:w="109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c>
          <w:tcPr>
            <w:tcW w:w="109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本期新增补助金额</w:t>
            </w:r>
          </w:p>
        </w:tc>
        <w:tc>
          <w:tcPr>
            <w:tcW w:w="10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本期计入营业外收入金额</w:t>
            </w:r>
          </w:p>
        </w:tc>
        <w:tc>
          <w:tcPr>
            <w:tcW w:w="109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本期计入其他收益金额</w:t>
            </w:r>
          </w:p>
        </w:tc>
        <w:tc>
          <w:tcPr>
            <w:tcW w:w="10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本期冲减成本费用金额</w:t>
            </w:r>
          </w:p>
        </w:tc>
        <w:tc>
          <w:tcPr>
            <w:tcW w:w="10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其他变动</w:t>
            </w:r>
          </w:p>
        </w:tc>
        <w:tc>
          <w:tcPr>
            <w:tcW w:w="109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10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与资产相关</w:t>
            </w:r>
            <w:r>
              <w:rPr>
                <w:rFonts w:cs="Times New Roman"/>
              </w:rPr>
              <w:t>/</w:t>
            </w:r>
            <w:r>
              <w:rPr>
                <w:rFonts w:hint="eastAsia"/>
              </w:rPr>
              <w:t>与收益相关</w:t>
            </w:r>
          </w:p>
        </w:tc>
      </w:tr>
      <w:tr w:rsidR="00A9288A">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船舶导航信息技术北京市工程实验室创新能力建设项目</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4,760,000.00</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1,020,000.00</w:t>
            </w: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3,740,000.00</w:t>
            </w: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与资产相关</w:t>
            </w:r>
          </w:p>
        </w:tc>
      </w:tr>
      <w:tr w:rsidR="00A9288A">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北京市科委</w:t>
            </w:r>
            <w:r>
              <w:rPr>
                <w:rFonts w:eastAsia="Times New Roman" w:cs="Times New Roman"/>
              </w:rPr>
              <w:t>-</w:t>
            </w:r>
            <w:r>
              <w:rPr>
                <w:rFonts w:hint="eastAsia"/>
              </w:rPr>
              <w:t>船舶航迹综合控制系统</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277,667.07</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24,499.80</w:t>
            </w: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253,167.27</w:t>
            </w: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与收益相关</w:t>
            </w:r>
          </w:p>
        </w:tc>
      </w:tr>
      <w:tr w:rsidR="00A9288A">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lastRenderedPageBreak/>
              <w:t>科技部国际合作项目</w:t>
            </w:r>
            <w:r>
              <w:rPr>
                <w:rFonts w:eastAsia="Times New Roman" w:cs="Times New Roman"/>
              </w:rPr>
              <w:t>-</w:t>
            </w:r>
            <w:r>
              <w:rPr>
                <w:rFonts w:hint="eastAsia"/>
              </w:rPr>
              <w:t>极小目标探测雷达系统联合研发</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603,766.50</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590,383.38</w:t>
            </w: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13,383.12</w:t>
            </w: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与收益相关</w:t>
            </w:r>
          </w:p>
        </w:tc>
      </w:tr>
      <w:tr w:rsidR="00A9288A">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北京市高精尖产业发展资金拨款项目</w:t>
            </w:r>
            <w:r>
              <w:rPr>
                <w:rFonts w:eastAsia="Times New Roman" w:cs="Times New Roman"/>
              </w:rPr>
              <w:t>-</w:t>
            </w:r>
            <w:r>
              <w:rPr>
                <w:rFonts w:hint="eastAsia"/>
              </w:rPr>
              <w:t>智慧桥综合船舶导航系统（</w:t>
            </w:r>
            <w:r>
              <w:rPr>
                <w:rFonts w:cs="Times New Roman"/>
              </w:rPr>
              <w:t>INS</w:t>
            </w:r>
            <w:r>
              <w:rPr>
                <w:rFonts w:hint="eastAsia"/>
              </w:rPr>
              <w:t>）关键技术研发及产业化项目</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4,659,241.67</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1,000,200.00</w:t>
            </w: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3,659,041.67</w:t>
            </w: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与资产相关</w:t>
            </w:r>
          </w:p>
        </w:tc>
      </w:tr>
      <w:tr w:rsidR="00A9288A">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智能船舶</w:t>
            </w:r>
            <w:r>
              <w:rPr>
                <w:rFonts w:cs="Times New Roman"/>
              </w:rPr>
              <w:t>1.0</w:t>
            </w:r>
            <w:r>
              <w:rPr>
                <w:rFonts w:hint="eastAsia"/>
              </w:rPr>
              <w:t>研发专项</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8,923,333.37</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12,400,000.00</w:t>
            </w: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11,180,276.30</w:t>
            </w: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3,049,530.00</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7,093,527.07</w:t>
            </w: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与收益相关</w:t>
            </w:r>
          </w:p>
        </w:tc>
      </w:tr>
      <w:tr w:rsidR="00A9288A">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基础设施专项补助</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6,807,000.00</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90,375.00</w:t>
            </w: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6,716,625.00</w:t>
            </w: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与资产相关</w:t>
            </w:r>
          </w:p>
        </w:tc>
      </w:tr>
      <w:tr w:rsidR="00A9288A">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近海特种雷达综合监控系统技术研究</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1,850,000.00</w:t>
            </w: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545,000.00</w:t>
            </w: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1,305,000.00</w:t>
            </w: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F53C6">
            <w:pPr>
              <w:jc w:val="left"/>
              <w:rPr>
                <w:rFonts w:eastAsia="Times New Roman" w:cs="Times New Roman"/>
              </w:rPr>
            </w:pPr>
            <w:r>
              <w:rPr>
                <w:rFonts w:hint="eastAsia"/>
              </w:rPr>
              <w:t>与收益</w:t>
            </w:r>
            <w:r w:rsidR="007A4434">
              <w:rPr>
                <w:rFonts w:hint="eastAsia"/>
              </w:rPr>
              <w:t>相关</w:t>
            </w:r>
          </w:p>
        </w:tc>
      </w:tr>
      <w:tr w:rsidR="00A9288A">
        <w:tc>
          <w:tcPr>
            <w:tcW w:w="10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1091"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26,031,008.61</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14,250,000.00</w:t>
            </w: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14,450,734.48</w:t>
            </w: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3,049,530.00</w:t>
            </w:r>
          </w:p>
        </w:tc>
        <w:tc>
          <w:tcPr>
            <w:tcW w:w="1091"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22,780,744.13</w:t>
            </w:r>
          </w:p>
        </w:tc>
        <w:tc>
          <w:tcPr>
            <w:tcW w:w="10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r>
    </w:tbl>
    <w:p w:rsidR="00A9288A" w:rsidRDefault="007A4434">
      <w:pPr>
        <w:jc w:val="left"/>
        <w:rPr>
          <w:rFonts w:eastAsia="Times New Roman" w:cs="Times New Roman"/>
        </w:rPr>
      </w:pPr>
      <w:r>
        <w:rPr>
          <w:rFonts w:hint="eastAsia"/>
        </w:rPr>
        <w:t>其他说明：</w:t>
      </w:r>
    </w:p>
    <w:p w:rsidR="00A9288A" w:rsidRDefault="007A4434">
      <w:pPr>
        <w:pStyle w:val="Section"/>
        <w:outlineLvl w:val="2"/>
        <w:rPr>
          <w:rFonts w:eastAsia="Times New Roman" w:cs="Times New Roman"/>
        </w:rPr>
      </w:pPr>
      <w:r>
        <w:rPr>
          <w:rFonts w:cs="Times New Roman"/>
        </w:rPr>
        <w:t>52</w:t>
      </w:r>
      <w:r>
        <w:rPr>
          <w:rFonts w:hint="eastAsia"/>
        </w:rPr>
        <w:t>、其他非流动负债</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7"/>
        <w:gridCol w:w="3193"/>
        <w:gridCol w:w="3189"/>
      </w:tblGrid>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杨慕燕</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10,960,300.00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10,866,700.00</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方励</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12,902,312.81</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13,583,375.00</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23,862,612.81</w:t>
            </w:r>
          </w:p>
        </w:tc>
        <w:tc>
          <w:tcPr>
            <w:tcW w:w="318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24,450,075.00</w:t>
            </w:r>
          </w:p>
        </w:tc>
      </w:tr>
    </w:tbl>
    <w:p w:rsidR="00A9288A" w:rsidRDefault="007A4434">
      <w:pPr>
        <w:jc w:val="left"/>
        <w:rPr>
          <w:rFonts w:eastAsia="Times New Roman" w:cs="Times New Roman"/>
        </w:rPr>
      </w:pPr>
      <w:r>
        <w:rPr>
          <w:rFonts w:hint="eastAsia"/>
        </w:rPr>
        <w:t>其他说明：</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ascii="宋体" w:hAnsi="宋体" w:hint="eastAsia"/>
          <w:kern w:val="0"/>
          <w:sz w:val="21"/>
          <w:szCs w:val="21"/>
          <w:lang w:val="zh-CN"/>
        </w:rPr>
        <w:t>注：其他非流动负债系劳雷海洋系统有限公司于</w:t>
      </w:r>
      <w:r>
        <w:rPr>
          <w:rFonts w:eastAsia="Times New Roman" w:cs="Times New Roman"/>
          <w:kern w:val="0"/>
          <w:sz w:val="21"/>
          <w:szCs w:val="21"/>
          <w:lang w:val="zh-CN"/>
        </w:rPr>
        <w:t>2017</w:t>
      </w:r>
      <w:r>
        <w:rPr>
          <w:rFonts w:ascii="宋体" w:hAnsi="宋体" w:hint="eastAsia"/>
          <w:kern w:val="0"/>
          <w:sz w:val="21"/>
          <w:szCs w:val="21"/>
          <w:lang w:val="zh-CN"/>
        </w:rPr>
        <w:t>年</w:t>
      </w:r>
      <w:r>
        <w:rPr>
          <w:rFonts w:eastAsia="Times New Roman" w:cs="Times New Roman"/>
          <w:kern w:val="0"/>
          <w:sz w:val="21"/>
          <w:szCs w:val="21"/>
          <w:lang w:val="zh-CN"/>
        </w:rPr>
        <w:t>6</w:t>
      </w:r>
      <w:r>
        <w:rPr>
          <w:rFonts w:ascii="宋体" w:hAnsi="宋体" w:hint="eastAsia"/>
          <w:kern w:val="0"/>
          <w:sz w:val="21"/>
          <w:szCs w:val="21"/>
          <w:lang w:val="zh-CN"/>
        </w:rPr>
        <w:t>月</w:t>
      </w:r>
      <w:r>
        <w:rPr>
          <w:rFonts w:eastAsia="Times New Roman" w:cs="Times New Roman"/>
          <w:kern w:val="0"/>
          <w:sz w:val="21"/>
          <w:szCs w:val="21"/>
          <w:lang w:val="zh-CN"/>
        </w:rPr>
        <w:t>30</w:t>
      </w:r>
      <w:r>
        <w:rPr>
          <w:rFonts w:ascii="宋体" w:hAnsi="宋体" w:hint="eastAsia"/>
          <w:kern w:val="0"/>
          <w:sz w:val="21"/>
          <w:szCs w:val="21"/>
          <w:lang w:val="zh-CN"/>
        </w:rPr>
        <w:t>日作出决议以现金方式派发</w:t>
      </w:r>
      <w:r>
        <w:rPr>
          <w:rFonts w:eastAsia="Times New Roman" w:cs="Times New Roman"/>
          <w:kern w:val="0"/>
          <w:sz w:val="21"/>
          <w:szCs w:val="21"/>
          <w:lang w:val="zh-CN"/>
        </w:rPr>
        <w:t>2017</w:t>
      </w:r>
      <w:r>
        <w:rPr>
          <w:rFonts w:ascii="宋体" w:hAnsi="宋体" w:hint="eastAsia"/>
          <w:kern w:val="0"/>
          <w:sz w:val="21"/>
          <w:szCs w:val="21"/>
          <w:lang w:val="zh-CN"/>
        </w:rPr>
        <w:t>年中期股息，共派发</w:t>
      </w:r>
      <w:r>
        <w:rPr>
          <w:rFonts w:eastAsia="Times New Roman" w:cs="Times New Roman"/>
          <w:kern w:val="0"/>
          <w:sz w:val="21"/>
          <w:szCs w:val="21"/>
          <w:lang w:val="zh-CN"/>
        </w:rPr>
        <w:t>6,500</w:t>
      </w:r>
      <w:r>
        <w:rPr>
          <w:rFonts w:ascii="宋体" w:hAnsi="宋体" w:hint="eastAsia"/>
          <w:kern w:val="0"/>
          <w:sz w:val="21"/>
          <w:szCs w:val="21"/>
          <w:lang w:val="zh-CN"/>
        </w:rPr>
        <w:t>万元港币，各股东依据持股比例确定分派股息金额，派发日期为</w:t>
      </w:r>
      <w:r>
        <w:rPr>
          <w:rFonts w:eastAsia="Times New Roman" w:cs="Times New Roman"/>
          <w:kern w:val="0"/>
          <w:sz w:val="21"/>
          <w:szCs w:val="21"/>
          <w:lang w:val="zh-CN"/>
        </w:rPr>
        <w:t>2020</w:t>
      </w:r>
      <w:r>
        <w:rPr>
          <w:rFonts w:ascii="宋体" w:hAnsi="宋体" w:hint="eastAsia"/>
          <w:kern w:val="0"/>
          <w:sz w:val="21"/>
          <w:szCs w:val="21"/>
          <w:lang w:val="zh-CN"/>
        </w:rPr>
        <w:t>年</w:t>
      </w:r>
      <w:r>
        <w:rPr>
          <w:rFonts w:eastAsia="Times New Roman" w:cs="Times New Roman"/>
          <w:kern w:val="0"/>
          <w:sz w:val="21"/>
          <w:szCs w:val="21"/>
          <w:lang w:val="zh-CN"/>
        </w:rPr>
        <w:t>3</w:t>
      </w:r>
      <w:r>
        <w:rPr>
          <w:rFonts w:ascii="宋体" w:hAnsi="宋体" w:hint="eastAsia"/>
          <w:kern w:val="0"/>
          <w:sz w:val="21"/>
          <w:szCs w:val="21"/>
          <w:lang w:val="zh-CN"/>
        </w:rPr>
        <w:t>月</w:t>
      </w:r>
      <w:r>
        <w:rPr>
          <w:rFonts w:eastAsia="Times New Roman" w:cs="Times New Roman"/>
          <w:kern w:val="0"/>
          <w:sz w:val="21"/>
          <w:szCs w:val="21"/>
          <w:lang w:val="zh-CN"/>
        </w:rPr>
        <w:t>31</w:t>
      </w:r>
      <w:r>
        <w:rPr>
          <w:rFonts w:ascii="宋体" w:hAnsi="宋体" w:hint="eastAsia"/>
          <w:kern w:val="0"/>
          <w:sz w:val="21"/>
          <w:szCs w:val="21"/>
          <w:lang w:val="zh-CN"/>
        </w:rPr>
        <w:t>日。</w:t>
      </w:r>
    </w:p>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2"/>
        <w:rPr>
          <w:rFonts w:eastAsia="Times New Roman" w:cs="Times New Roman"/>
        </w:rPr>
      </w:pPr>
      <w:r>
        <w:rPr>
          <w:rFonts w:cs="Times New Roman"/>
        </w:rPr>
        <w:t>53</w:t>
      </w:r>
      <w:r>
        <w:rPr>
          <w:rFonts w:hint="eastAsia"/>
        </w:rPr>
        <w:t>、股本</w:t>
      </w:r>
    </w:p>
    <w:p w:rsidR="00A9288A" w:rsidRDefault="007A4434">
      <w:pPr>
        <w:jc w:val="right"/>
        <w:rPr>
          <w:rFonts w:eastAsia="Times New Roman" w:cs="Times New Roman"/>
        </w:rPr>
      </w:pPr>
      <w:r>
        <w:rPr>
          <w:rFonts w:hint="eastAsia"/>
        </w:rPr>
        <w:t>单位：元</w:t>
      </w:r>
    </w:p>
    <w:tbl>
      <w:tblPr>
        <w:tblW w:w="0" w:type="auto"/>
        <w:tblInd w:w="-5" w:type="dxa"/>
        <w:tblLayout w:type="fixed"/>
        <w:tblCellMar>
          <w:left w:w="28" w:type="dxa"/>
          <w:right w:w="28" w:type="dxa"/>
        </w:tblCellMar>
        <w:tblLook w:val="0000" w:firstRow="0" w:lastRow="0" w:firstColumn="0" w:lastColumn="0" w:noHBand="0" w:noVBand="0"/>
      </w:tblPr>
      <w:tblGrid>
        <w:gridCol w:w="1195"/>
        <w:gridCol w:w="1197"/>
        <w:gridCol w:w="1196"/>
        <w:gridCol w:w="1196"/>
        <w:gridCol w:w="1196"/>
        <w:gridCol w:w="1196"/>
        <w:gridCol w:w="1196"/>
        <w:gridCol w:w="1196"/>
      </w:tblGrid>
      <w:tr w:rsidR="00A9288A">
        <w:tc>
          <w:tcPr>
            <w:tcW w:w="1195"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center"/>
              <w:rPr>
                <w:rFonts w:eastAsia="Times New Roman" w:cs="Times New Roman"/>
              </w:rPr>
            </w:pPr>
          </w:p>
        </w:tc>
        <w:tc>
          <w:tcPr>
            <w:tcW w:w="1197"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c>
          <w:tcPr>
            <w:tcW w:w="5980" w:type="dxa"/>
            <w:gridSpan w:val="5"/>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本次变动增减（</w:t>
            </w:r>
            <w:r>
              <w:rPr>
                <w:rFonts w:cs="Times New Roman"/>
              </w:rPr>
              <w:t>+</w:t>
            </w:r>
            <w:r>
              <w:rPr>
                <w:rFonts w:hint="eastAsia"/>
              </w:rPr>
              <w:t>、</w:t>
            </w:r>
            <w:r>
              <w:rPr>
                <w:rFonts w:eastAsia="Times New Roman" w:cs="Times New Roman"/>
              </w:rPr>
              <w:t>-</w:t>
            </w:r>
            <w:r>
              <w:rPr>
                <w:rFonts w:hint="eastAsia"/>
              </w:rPr>
              <w:t>）</w:t>
            </w:r>
          </w:p>
        </w:tc>
        <w:tc>
          <w:tcPr>
            <w:tcW w:w="1196"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r>
      <w:tr w:rsidR="00A9288A">
        <w:tc>
          <w:tcPr>
            <w:tcW w:w="1195"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197"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19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发行新股</w:t>
            </w:r>
          </w:p>
        </w:tc>
        <w:tc>
          <w:tcPr>
            <w:tcW w:w="119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送股</w:t>
            </w:r>
          </w:p>
        </w:tc>
        <w:tc>
          <w:tcPr>
            <w:tcW w:w="119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公积金转股</w:t>
            </w:r>
          </w:p>
        </w:tc>
        <w:tc>
          <w:tcPr>
            <w:tcW w:w="119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其他</w:t>
            </w:r>
          </w:p>
        </w:tc>
        <w:tc>
          <w:tcPr>
            <w:tcW w:w="119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小计</w:t>
            </w:r>
          </w:p>
        </w:tc>
        <w:tc>
          <w:tcPr>
            <w:tcW w:w="1196"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r>
      <w:tr w:rsidR="00A9288A">
        <w:tc>
          <w:tcPr>
            <w:tcW w:w="119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股份总数</w:t>
            </w:r>
          </w:p>
        </w:tc>
        <w:tc>
          <w:tcPr>
            <w:tcW w:w="1197"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362,340,972.00</w:t>
            </w:r>
          </w:p>
        </w:tc>
        <w:tc>
          <w:tcPr>
            <w:tcW w:w="11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96"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362,340,972.00</w:t>
            </w:r>
          </w:p>
        </w:tc>
      </w:tr>
    </w:tbl>
    <w:p w:rsidR="00A9288A" w:rsidRDefault="007A4434">
      <w:pPr>
        <w:pStyle w:val="Section"/>
        <w:outlineLvl w:val="2"/>
        <w:rPr>
          <w:rFonts w:eastAsia="Times New Roman" w:cs="Times New Roman"/>
        </w:rPr>
      </w:pPr>
      <w:r>
        <w:rPr>
          <w:rFonts w:cs="Times New Roman"/>
        </w:rPr>
        <w:t>54</w:t>
      </w:r>
      <w:r>
        <w:rPr>
          <w:rFonts w:hint="eastAsia"/>
        </w:rPr>
        <w:t>、其他权益工具</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）期末发行在外的优先股、永续债等其他金融工具基本情况</w:t>
      </w: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）期末发行在外的优先股、永续债等金融工具变动情况表</w:t>
      </w:r>
    </w:p>
    <w:p w:rsidR="00A9288A" w:rsidRDefault="007A4434">
      <w:pPr>
        <w:pStyle w:val="Section"/>
        <w:outlineLvl w:val="2"/>
        <w:rPr>
          <w:rFonts w:eastAsia="Times New Roman" w:cs="Times New Roman"/>
        </w:rPr>
      </w:pPr>
      <w:r>
        <w:rPr>
          <w:rFonts w:cs="Times New Roman"/>
        </w:rPr>
        <w:t>55</w:t>
      </w:r>
      <w:r>
        <w:rPr>
          <w:rFonts w:hint="eastAsia"/>
        </w:rPr>
        <w:t>、资本公积</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912"/>
        <w:gridCol w:w="1916"/>
        <w:gridCol w:w="1914"/>
        <w:gridCol w:w="1914"/>
        <w:gridCol w:w="1914"/>
      </w:tblGrid>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191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本期增加</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本期减少</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资本溢价（股本溢价）</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552,716,346.89</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552,716,346.89</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其他资本公积</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1,777,285.43</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1,777,285.43</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1916"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554,493,632.32</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91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554,493,632.32</w:t>
            </w:r>
          </w:p>
        </w:tc>
      </w:tr>
    </w:tbl>
    <w:p w:rsidR="00A9288A" w:rsidRDefault="007A4434">
      <w:pPr>
        <w:pStyle w:val="Section"/>
        <w:outlineLvl w:val="2"/>
        <w:rPr>
          <w:rFonts w:eastAsia="Times New Roman" w:cs="Times New Roman"/>
        </w:rPr>
      </w:pPr>
      <w:r>
        <w:rPr>
          <w:rFonts w:cs="Times New Roman"/>
        </w:rPr>
        <w:t>56</w:t>
      </w:r>
      <w:r>
        <w:rPr>
          <w:rFonts w:hint="eastAsia"/>
        </w:rPr>
        <w:t>、库存股</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912"/>
        <w:gridCol w:w="1916"/>
        <w:gridCol w:w="1914"/>
        <w:gridCol w:w="1914"/>
        <w:gridCol w:w="1914"/>
      </w:tblGrid>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191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本期增加</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本期减少</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库存股</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71,990,167.15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71,990,167.15</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1916" w:type="dxa"/>
            <w:tcBorders>
              <w:top w:val="single" w:sz="4" w:space="0" w:color="auto"/>
              <w:left w:val="single" w:sz="4" w:space="0" w:color="auto"/>
              <w:bottom w:val="single" w:sz="4" w:space="0" w:color="auto"/>
              <w:right w:val="single" w:sz="4" w:space="0" w:color="auto"/>
            </w:tcBorders>
            <w:vAlign w:val="center"/>
          </w:tcPr>
          <w:p w:rsidR="00A9288A" w:rsidRDefault="00A9288A">
            <w:pPr>
              <w:jc w:val="right"/>
              <w:rPr>
                <w:rFonts w:eastAsia="Times New Roman" w:cs="Times New Roman"/>
              </w:rPr>
            </w:pP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71,990,167.15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91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71,990,167.15</w:t>
            </w:r>
          </w:p>
        </w:tc>
      </w:tr>
    </w:tbl>
    <w:p w:rsidR="00A9288A" w:rsidRDefault="007A4434">
      <w:pPr>
        <w:pStyle w:val="Section"/>
        <w:outlineLvl w:val="2"/>
        <w:rPr>
          <w:rFonts w:eastAsia="Times New Roman" w:cs="Times New Roman"/>
        </w:rPr>
      </w:pPr>
      <w:r>
        <w:rPr>
          <w:rFonts w:cs="Times New Roman"/>
        </w:rPr>
        <w:t>57</w:t>
      </w:r>
      <w:r>
        <w:rPr>
          <w:rFonts w:hint="eastAsia"/>
        </w:rPr>
        <w:t>、其他综合收益</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33" w:type="dxa"/>
        <w:tblLayout w:type="fixed"/>
        <w:tblCellMar>
          <w:left w:w="28" w:type="dxa"/>
          <w:right w:w="28" w:type="dxa"/>
        </w:tblCellMar>
        <w:tblLook w:val="0000" w:firstRow="0" w:lastRow="0" w:firstColumn="0" w:lastColumn="0" w:noHBand="0" w:noVBand="0"/>
      </w:tblPr>
      <w:tblGrid>
        <w:gridCol w:w="2805"/>
        <w:gridCol w:w="1061"/>
        <w:gridCol w:w="926"/>
        <w:gridCol w:w="1097"/>
        <w:gridCol w:w="909"/>
        <w:gridCol w:w="909"/>
        <w:gridCol w:w="926"/>
        <w:gridCol w:w="1061"/>
      </w:tblGrid>
      <w:tr w:rsidR="00A9288A">
        <w:tc>
          <w:tcPr>
            <w:tcW w:w="2805"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106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c>
          <w:tcPr>
            <w:tcW w:w="4767" w:type="dxa"/>
            <w:gridSpan w:val="5"/>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c>
          <w:tcPr>
            <w:tcW w:w="106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r>
      <w:tr w:rsidR="00A9288A">
        <w:tc>
          <w:tcPr>
            <w:tcW w:w="2805"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06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92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本期所得税前发生额</w:t>
            </w:r>
          </w:p>
        </w:tc>
        <w:tc>
          <w:tcPr>
            <w:tcW w:w="109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减：前期计入其他综合收益当期转入损益</w:t>
            </w:r>
          </w:p>
        </w:tc>
        <w:tc>
          <w:tcPr>
            <w:tcW w:w="90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减：所得税费用</w:t>
            </w:r>
          </w:p>
        </w:tc>
        <w:tc>
          <w:tcPr>
            <w:tcW w:w="90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税后归属于母公司</w:t>
            </w:r>
          </w:p>
        </w:tc>
        <w:tc>
          <w:tcPr>
            <w:tcW w:w="92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税后归属于少数股东</w:t>
            </w:r>
          </w:p>
        </w:tc>
        <w:tc>
          <w:tcPr>
            <w:tcW w:w="106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r>
      <w:tr w:rsidR="00A9288A">
        <w:tc>
          <w:tcPr>
            <w:tcW w:w="280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二、以后将重分类进损益的其他综合收益</w:t>
            </w: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2,490,526.01</w:t>
            </w:r>
          </w:p>
        </w:tc>
        <w:tc>
          <w:tcPr>
            <w:tcW w:w="9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-310,756.04</w:t>
            </w:r>
          </w:p>
        </w:tc>
        <w:tc>
          <w:tcPr>
            <w:tcW w:w="10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9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90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373,390.27</w:t>
            </w:r>
          </w:p>
        </w:tc>
        <w:tc>
          <w:tcPr>
            <w:tcW w:w="9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-684,146.31</w:t>
            </w: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2,863,916.28</w:t>
            </w:r>
          </w:p>
        </w:tc>
      </w:tr>
      <w:tr w:rsidR="00A9288A">
        <w:tc>
          <w:tcPr>
            <w:tcW w:w="280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其中：权益法下在被投资单位以后将重分类进损益的其他综合收益中享有的份额</w:t>
            </w: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-1,053,489.99</w:t>
            </w:r>
          </w:p>
        </w:tc>
        <w:tc>
          <w:tcPr>
            <w:tcW w:w="9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9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909" w:type="dxa"/>
            <w:tcBorders>
              <w:top w:val="single" w:sz="4" w:space="0" w:color="auto"/>
              <w:left w:val="single" w:sz="4" w:space="0" w:color="auto"/>
              <w:bottom w:val="single" w:sz="4" w:space="0" w:color="auto"/>
              <w:right w:val="single" w:sz="4" w:space="0" w:color="auto"/>
            </w:tcBorders>
            <w:vAlign w:val="center"/>
          </w:tcPr>
          <w:p w:rsidR="00A9288A" w:rsidRDefault="00A9288A">
            <w:pPr>
              <w:jc w:val="right"/>
              <w:rPr>
                <w:rFonts w:cs="Times New Roman"/>
              </w:rPr>
            </w:pPr>
          </w:p>
        </w:tc>
        <w:tc>
          <w:tcPr>
            <w:tcW w:w="9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-1,053,489.99</w:t>
            </w:r>
          </w:p>
        </w:tc>
      </w:tr>
      <w:tr w:rsidR="00A9288A">
        <w:tc>
          <w:tcPr>
            <w:tcW w:w="280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外币财务报表折算差额</w:t>
            </w: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3,544,016.00</w:t>
            </w:r>
          </w:p>
        </w:tc>
        <w:tc>
          <w:tcPr>
            <w:tcW w:w="9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-310,756.04</w:t>
            </w:r>
          </w:p>
        </w:tc>
        <w:tc>
          <w:tcPr>
            <w:tcW w:w="10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9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90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373,390.27</w:t>
            </w:r>
          </w:p>
        </w:tc>
        <w:tc>
          <w:tcPr>
            <w:tcW w:w="9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-684,146.31</w:t>
            </w: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3,917,406.27</w:t>
            </w:r>
          </w:p>
        </w:tc>
      </w:tr>
      <w:tr w:rsidR="00A9288A">
        <w:tc>
          <w:tcPr>
            <w:tcW w:w="280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lastRenderedPageBreak/>
              <w:t>其他综合收益合计</w:t>
            </w:r>
          </w:p>
        </w:tc>
        <w:tc>
          <w:tcPr>
            <w:tcW w:w="1061"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2,490,526.01</w:t>
            </w:r>
          </w:p>
        </w:tc>
        <w:tc>
          <w:tcPr>
            <w:tcW w:w="92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-310,756.04</w:t>
            </w:r>
          </w:p>
        </w:tc>
        <w:tc>
          <w:tcPr>
            <w:tcW w:w="10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90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90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373,390.27</w:t>
            </w:r>
          </w:p>
        </w:tc>
        <w:tc>
          <w:tcPr>
            <w:tcW w:w="926"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-684,146.31</w:t>
            </w:r>
          </w:p>
        </w:tc>
        <w:tc>
          <w:tcPr>
            <w:tcW w:w="1061"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2,863,916.28</w:t>
            </w:r>
          </w:p>
        </w:tc>
      </w:tr>
    </w:tbl>
    <w:p w:rsidR="00A9288A" w:rsidRDefault="007A4434">
      <w:pPr>
        <w:pStyle w:val="Section"/>
        <w:outlineLvl w:val="2"/>
        <w:rPr>
          <w:rFonts w:eastAsia="Times New Roman" w:cs="Times New Roman"/>
        </w:rPr>
      </w:pPr>
      <w:r>
        <w:rPr>
          <w:rFonts w:cs="Times New Roman"/>
        </w:rPr>
        <w:t>58</w:t>
      </w:r>
      <w:r>
        <w:rPr>
          <w:rFonts w:hint="eastAsia"/>
        </w:rPr>
        <w:t>、专项储备</w:t>
      </w:r>
    </w:p>
    <w:p w:rsidR="00A9288A" w:rsidRDefault="007A4434">
      <w:pPr>
        <w:pStyle w:val="Section"/>
        <w:outlineLvl w:val="2"/>
        <w:rPr>
          <w:rFonts w:eastAsia="Times New Roman" w:cs="Times New Roman"/>
        </w:rPr>
      </w:pPr>
      <w:r>
        <w:rPr>
          <w:rFonts w:cs="Times New Roman"/>
        </w:rPr>
        <w:t>59</w:t>
      </w:r>
      <w:r>
        <w:rPr>
          <w:rFonts w:hint="eastAsia"/>
        </w:rPr>
        <w:t>、盈余公积</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912"/>
        <w:gridCol w:w="1916"/>
        <w:gridCol w:w="1914"/>
        <w:gridCol w:w="1914"/>
        <w:gridCol w:w="1914"/>
      </w:tblGrid>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191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本期增加</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本期减少</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法定盈余公积</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23,298,216.75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23,298,216.75</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1916"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23,298,216.75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91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23,298,216.75</w:t>
            </w:r>
          </w:p>
        </w:tc>
      </w:tr>
    </w:tbl>
    <w:p w:rsidR="00A9288A" w:rsidRDefault="007A4434">
      <w:pPr>
        <w:pStyle w:val="Section"/>
        <w:outlineLvl w:val="2"/>
        <w:rPr>
          <w:rFonts w:eastAsia="Times New Roman" w:cs="Times New Roman"/>
        </w:rPr>
      </w:pPr>
      <w:r>
        <w:rPr>
          <w:rFonts w:cs="Times New Roman"/>
        </w:rPr>
        <w:t>60</w:t>
      </w:r>
      <w:r>
        <w:rPr>
          <w:rFonts w:hint="eastAsia"/>
        </w:rPr>
        <w:t>、未分配利润</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725"/>
        <w:gridCol w:w="2924"/>
        <w:gridCol w:w="2918"/>
      </w:tblGrid>
      <w:tr w:rsidR="00A9288A">
        <w:tc>
          <w:tcPr>
            <w:tcW w:w="372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292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w:t>
            </w:r>
          </w:p>
        </w:tc>
        <w:tc>
          <w:tcPr>
            <w:tcW w:w="291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w:t>
            </w:r>
          </w:p>
        </w:tc>
      </w:tr>
      <w:tr w:rsidR="00A9288A">
        <w:tc>
          <w:tcPr>
            <w:tcW w:w="372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调整前上期末未分配利润</w:t>
            </w:r>
          </w:p>
        </w:tc>
        <w:tc>
          <w:tcPr>
            <w:tcW w:w="292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278,883,879.11</w:t>
            </w:r>
          </w:p>
        </w:tc>
        <w:tc>
          <w:tcPr>
            <w:tcW w:w="291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199,844,931.74</w:t>
            </w:r>
          </w:p>
        </w:tc>
      </w:tr>
      <w:tr w:rsidR="00A9288A">
        <w:tc>
          <w:tcPr>
            <w:tcW w:w="372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调整后期初未分配利润</w:t>
            </w:r>
          </w:p>
        </w:tc>
        <w:tc>
          <w:tcPr>
            <w:tcW w:w="292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278,883,879.11</w:t>
            </w:r>
          </w:p>
        </w:tc>
        <w:tc>
          <w:tcPr>
            <w:tcW w:w="291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199,844,931.74</w:t>
            </w:r>
          </w:p>
        </w:tc>
      </w:tr>
      <w:tr w:rsidR="00A9288A">
        <w:tc>
          <w:tcPr>
            <w:tcW w:w="372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加：本期归属于母公司所有者的净利润</w:t>
            </w:r>
          </w:p>
        </w:tc>
        <w:tc>
          <w:tcPr>
            <w:tcW w:w="292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59,531,272.15</w:t>
            </w:r>
          </w:p>
        </w:tc>
        <w:tc>
          <w:tcPr>
            <w:tcW w:w="291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103,405,548.19</w:t>
            </w:r>
          </w:p>
        </w:tc>
      </w:tr>
      <w:tr w:rsidR="00A9288A">
        <w:tc>
          <w:tcPr>
            <w:tcW w:w="372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减：提取法定盈余公积</w:t>
            </w:r>
          </w:p>
        </w:tc>
        <w:tc>
          <w:tcPr>
            <w:tcW w:w="292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291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5,041,748.98</w:t>
            </w:r>
          </w:p>
        </w:tc>
      </w:tr>
      <w:tr w:rsidR="00A9288A">
        <w:tc>
          <w:tcPr>
            <w:tcW w:w="372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应付普通股股利</w:t>
            </w:r>
          </w:p>
        </w:tc>
        <w:tc>
          <w:tcPr>
            <w:tcW w:w="292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10,870,213.89</w:t>
            </w:r>
          </w:p>
        </w:tc>
        <w:tc>
          <w:tcPr>
            <w:tcW w:w="291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19,324,851.84</w:t>
            </w:r>
          </w:p>
        </w:tc>
      </w:tr>
      <w:tr w:rsidR="00A9288A">
        <w:tc>
          <w:tcPr>
            <w:tcW w:w="372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期末未分配利润</w:t>
            </w:r>
          </w:p>
        </w:tc>
        <w:tc>
          <w:tcPr>
            <w:tcW w:w="292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327,544,937.37</w:t>
            </w:r>
          </w:p>
        </w:tc>
        <w:tc>
          <w:tcPr>
            <w:tcW w:w="291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278,883,879.11</w:t>
            </w:r>
          </w:p>
        </w:tc>
      </w:tr>
    </w:tbl>
    <w:p w:rsidR="00A9288A" w:rsidRDefault="007A4434">
      <w:pPr>
        <w:jc w:val="left"/>
        <w:rPr>
          <w:rFonts w:eastAsia="Times New Roman" w:cs="Times New Roman"/>
        </w:rPr>
      </w:pPr>
      <w:r>
        <w:rPr>
          <w:rFonts w:hint="eastAsia"/>
        </w:rPr>
        <w:t>调整期初未分配利润明细：</w:t>
      </w:r>
    </w:p>
    <w:p w:rsidR="00A9288A" w:rsidRDefault="007A4434">
      <w:pPr>
        <w:jc w:val="left"/>
        <w:rPr>
          <w:rFonts w:eastAsia="Times New Roman" w:cs="Times New Roman"/>
        </w:rPr>
      </w:pPr>
      <w:r>
        <w:rPr>
          <w:rFonts w:cs="Times New Roman"/>
        </w:rPr>
        <w:t>1)</w:t>
      </w:r>
      <w:r>
        <w:rPr>
          <w:rFonts w:hint="eastAsia"/>
        </w:rPr>
        <w:t>、由于《企业会计准则》及其相关新规定进行追溯调整，影响期初未分配利润元。</w:t>
      </w:r>
    </w:p>
    <w:p w:rsidR="00A9288A" w:rsidRDefault="007A4434">
      <w:pPr>
        <w:jc w:val="left"/>
        <w:rPr>
          <w:rFonts w:eastAsia="Times New Roman" w:cs="Times New Roman"/>
        </w:rPr>
      </w:pPr>
      <w:r>
        <w:rPr>
          <w:rFonts w:cs="Times New Roman"/>
        </w:rPr>
        <w:t>2)</w:t>
      </w:r>
      <w:r>
        <w:rPr>
          <w:rFonts w:hint="eastAsia"/>
        </w:rPr>
        <w:t>、由于会计政策变更，影响期初未分配利润元。</w:t>
      </w:r>
    </w:p>
    <w:p w:rsidR="00A9288A" w:rsidRDefault="007A4434">
      <w:pPr>
        <w:jc w:val="left"/>
        <w:rPr>
          <w:rFonts w:eastAsia="Times New Roman" w:cs="Times New Roman"/>
        </w:rPr>
      </w:pPr>
      <w:r>
        <w:rPr>
          <w:rFonts w:cs="Times New Roman"/>
        </w:rPr>
        <w:t>3)</w:t>
      </w:r>
      <w:r>
        <w:rPr>
          <w:rFonts w:hint="eastAsia"/>
        </w:rPr>
        <w:t>、由于重大会计差错更正，影响期初未分配利润元。</w:t>
      </w:r>
    </w:p>
    <w:p w:rsidR="00A9288A" w:rsidRDefault="007A4434">
      <w:pPr>
        <w:jc w:val="left"/>
        <w:rPr>
          <w:rFonts w:eastAsia="Times New Roman" w:cs="Times New Roman"/>
        </w:rPr>
      </w:pPr>
      <w:r>
        <w:rPr>
          <w:rFonts w:cs="Times New Roman"/>
        </w:rPr>
        <w:t>4)</w:t>
      </w:r>
      <w:r>
        <w:rPr>
          <w:rFonts w:hint="eastAsia"/>
        </w:rPr>
        <w:t>、由于同一控制导致的合并范围变更，影响期初未分配利润元。</w:t>
      </w:r>
    </w:p>
    <w:p w:rsidR="00A9288A" w:rsidRDefault="007A4434">
      <w:pPr>
        <w:jc w:val="left"/>
        <w:rPr>
          <w:rFonts w:eastAsia="Times New Roman" w:cs="Times New Roman"/>
        </w:rPr>
      </w:pPr>
      <w:r>
        <w:rPr>
          <w:rFonts w:cs="Times New Roman"/>
        </w:rPr>
        <w:t>5)</w:t>
      </w:r>
      <w:r>
        <w:rPr>
          <w:rFonts w:hint="eastAsia"/>
        </w:rPr>
        <w:t>、其他调整合计影响期初未分配利润元。</w:t>
      </w:r>
    </w:p>
    <w:p w:rsidR="00A9288A" w:rsidRDefault="007A4434">
      <w:pPr>
        <w:pStyle w:val="Section"/>
        <w:outlineLvl w:val="2"/>
        <w:rPr>
          <w:rFonts w:eastAsia="Times New Roman" w:cs="Times New Roman"/>
        </w:rPr>
      </w:pPr>
      <w:r>
        <w:rPr>
          <w:rFonts w:cs="Times New Roman"/>
        </w:rPr>
        <w:t>61</w:t>
      </w:r>
      <w:r>
        <w:rPr>
          <w:rFonts w:hint="eastAsia"/>
        </w:rPr>
        <w:t>、营业收入和营业成本</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912"/>
        <w:gridCol w:w="1916"/>
        <w:gridCol w:w="1914"/>
        <w:gridCol w:w="1914"/>
        <w:gridCol w:w="1914"/>
      </w:tblGrid>
      <w:tr w:rsidR="00A9288A">
        <w:tc>
          <w:tcPr>
            <w:tcW w:w="1912"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830"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c>
          <w:tcPr>
            <w:tcW w:w="3828"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上期发生额</w:t>
            </w:r>
          </w:p>
        </w:tc>
      </w:tr>
      <w:tr w:rsidR="00A9288A">
        <w:tc>
          <w:tcPr>
            <w:tcW w:w="1912"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91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收入</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成本</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收入</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成本</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主营业务</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314,937,701.35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188,430,097.75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316,543,378.41</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169,104,932.27</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其他业务</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3,594,165.42</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897,718.15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2,311,085.60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1,227,806.02</w:t>
            </w:r>
          </w:p>
        </w:tc>
      </w:tr>
      <w:tr w:rsidR="00A9288A">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318,531,866.77</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189,327,815.90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318,854,464.01</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170,332,738.29</w:t>
            </w:r>
          </w:p>
        </w:tc>
      </w:tr>
    </w:tbl>
    <w:p w:rsidR="00A9288A" w:rsidRDefault="007A4434">
      <w:pPr>
        <w:pStyle w:val="Section"/>
        <w:outlineLvl w:val="2"/>
        <w:rPr>
          <w:rFonts w:eastAsia="Times New Roman" w:cs="Times New Roman"/>
        </w:rPr>
      </w:pPr>
      <w:r>
        <w:rPr>
          <w:rFonts w:cs="Times New Roman"/>
        </w:rPr>
        <w:lastRenderedPageBreak/>
        <w:t>62</w:t>
      </w:r>
      <w:r>
        <w:rPr>
          <w:rFonts w:hint="eastAsia"/>
        </w:rPr>
        <w:t>、税金及附加</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7"/>
        <w:gridCol w:w="3193"/>
        <w:gridCol w:w="3189"/>
      </w:tblGrid>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上期发生额</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城市维护建设税</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757,154.11</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652,583.48</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教育费附加</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325,851.82</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279,678.61</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房产税</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154,832.42</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土地使用税</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3,941.57</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印花税</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227,003.48</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地方教育费附件</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217,234.53</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186,452.12</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其他</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348,832.62</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1,807,847.07</w:t>
            </w:r>
          </w:p>
        </w:tc>
        <w:tc>
          <w:tcPr>
            <w:tcW w:w="318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1,345,717.69</w:t>
            </w:r>
          </w:p>
        </w:tc>
      </w:tr>
    </w:tbl>
    <w:p w:rsidR="00A9288A" w:rsidRDefault="007A4434">
      <w:pPr>
        <w:jc w:val="left"/>
        <w:rPr>
          <w:rFonts w:eastAsia="Times New Roman" w:cs="Times New Roman"/>
        </w:rPr>
      </w:pPr>
      <w:r>
        <w:rPr>
          <w:rFonts w:hint="eastAsia"/>
        </w:rPr>
        <w:t>其他说明：</w:t>
      </w:r>
    </w:p>
    <w:p w:rsidR="00A9288A" w:rsidRDefault="007A4434">
      <w:pPr>
        <w:pStyle w:val="Section"/>
        <w:outlineLvl w:val="2"/>
        <w:rPr>
          <w:rFonts w:eastAsia="Times New Roman" w:cs="Times New Roman"/>
        </w:rPr>
      </w:pPr>
      <w:r>
        <w:rPr>
          <w:rFonts w:cs="Times New Roman"/>
        </w:rPr>
        <w:t>63</w:t>
      </w:r>
      <w:r>
        <w:rPr>
          <w:rFonts w:hint="eastAsia"/>
        </w:rPr>
        <w:t>、销售费用</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9"/>
        <w:gridCol w:w="3190"/>
        <w:gridCol w:w="3190"/>
      </w:tblGrid>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上期发生额</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职工薪酬</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10,560,537.44</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12,534,378.88</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调试、售后维护费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4,521,381.18</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6,070,567.93</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业务招待费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1,884,572.95</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1,448,314.01</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差旅费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2,999,890.45</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2,511,237.86</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运输费、邮电费、报关费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3,234,226.24</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6,447,896.98</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宣传展览费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1,473,286.01</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479,300.47</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办公费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301,835.18</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449,488.48</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折旧费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422,520.07</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756,320.90</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会务费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222,569.37</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226,902.23</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咨询费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1,280,760.62</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房租物业费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483,907.81</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770,855.97</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认证检验费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159,321.17</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其他</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3,451,353.76</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3,779,205.08</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90"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29,556,080.46</w:t>
            </w:r>
          </w:p>
        </w:tc>
        <w:tc>
          <w:tcPr>
            <w:tcW w:w="3190"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36,914,550.58</w:t>
            </w:r>
          </w:p>
        </w:tc>
      </w:tr>
    </w:tbl>
    <w:p w:rsidR="00A9288A" w:rsidRDefault="007A4434">
      <w:pPr>
        <w:jc w:val="left"/>
        <w:rPr>
          <w:rFonts w:eastAsia="Times New Roman" w:cs="Times New Roman"/>
        </w:rPr>
      </w:pPr>
      <w:r>
        <w:rPr>
          <w:rFonts w:hint="eastAsia"/>
        </w:rPr>
        <w:t>其他说明：</w:t>
      </w:r>
    </w:p>
    <w:p w:rsidR="00A9288A" w:rsidRDefault="007A4434">
      <w:pPr>
        <w:pStyle w:val="Section"/>
        <w:outlineLvl w:val="2"/>
        <w:rPr>
          <w:rFonts w:eastAsia="Times New Roman" w:cs="Times New Roman"/>
        </w:rPr>
      </w:pPr>
      <w:r>
        <w:rPr>
          <w:rFonts w:cs="Times New Roman"/>
        </w:rPr>
        <w:t>64</w:t>
      </w:r>
      <w:r>
        <w:rPr>
          <w:rFonts w:hint="eastAsia"/>
        </w:rPr>
        <w:t>、管理费用</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9"/>
        <w:gridCol w:w="3190"/>
        <w:gridCol w:w="3190"/>
      </w:tblGrid>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lastRenderedPageBreak/>
              <w:t>项目</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上期发生额</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研发费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16,457,425.24</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12,547,586.78</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职工薪酬</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14,759,388.88</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12,530,391.29</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办公费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1,070,146.69</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1,907,527.83</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房租物业费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4,297,413.94</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4,229,976.86</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折旧费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1,878,768.87</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2,235,097.24</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中介费用</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1,565,319.92</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2,177,085.19</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差旅费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1,031,242.35</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2,341,729.12</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业务招待费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282,736.89</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622,096.52</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服务费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7,550,286.30</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其他</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2,925,890.30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1,014,786.40</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无形资产和长期待摊费用摊销</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878,793.84</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90"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45,147,126.92</w:t>
            </w:r>
          </w:p>
        </w:tc>
        <w:tc>
          <w:tcPr>
            <w:tcW w:w="3190"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47,156,563.53</w:t>
            </w:r>
          </w:p>
        </w:tc>
      </w:tr>
    </w:tbl>
    <w:p w:rsidR="00A9288A" w:rsidRDefault="007A4434">
      <w:pPr>
        <w:pStyle w:val="Section"/>
        <w:outlineLvl w:val="2"/>
        <w:rPr>
          <w:rFonts w:eastAsia="Times New Roman" w:cs="Times New Roman"/>
        </w:rPr>
      </w:pPr>
      <w:r>
        <w:rPr>
          <w:rFonts w:cs="Times New Roman"/>
        </w:rPr>
        <w:t>65</w:t>
      </w:r>
      <w:r>
        <w:rPr>
          <w:rFonts w:hint="eastAsia"/>
        </w:rPr>
        <w:t>、财务费用</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9"/>
        <w:gridCol w:w="3190"/>
        <w:gridCol w:w="3190"/>
      </w:tblGrid>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上期发生额</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利息支出</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2,300,123.13</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1,299,906.11</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减：利息收入</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13,416,078.23</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1,594,197.98</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加：汇兑损失</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-18,573.13</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1,411,437.78</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加：其他支出</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2,857,756.62</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1,439,451.92</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90"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-8,276,771.61</w:t>
            </w:r>
          </w:p>
        </w:tc>
        <w:tc>
          <w:tcPr>
            <w:tcW w:w="3190"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2,556,597.83</w:t>
            </w:r>
          </w:p>
        </w:tc>
      </w:tr>
    </w:tbl>
    <w:p w:rsidR="00A9288A" w:rsidRDefault="007A4434">
      <w:pPr>
        <w:pStyle w:val="Section"/>
        <w:outlineLvl w:val="2"/>
        <w:rPr>
          <w:rFonts w:eastAsia="Times New Roman" w:cs="Times New Roman"/>
        </w:rPr>
      </w:pPr>
      <w:r>
        <w:rPr>
          <w:rFonts w:cs="Times New Roman"/>
        </w:rPr>
        <w:t>66</w:t>
      </w:r>
      <w:r>
        <w:rPr>
          <w:rFonts w:hint="eastAsia"/>
        </w:rPr>
        <w:t>、资产减值损失</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7"/>
        <w:gridCol w:w="3193"/>
        <w:gridCol w:w="3189"/>
      </w:tblGrid>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上期发生额</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一、坏账损失</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-3,405,815.42</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1,757,074.49</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-3,405,815.42</w:t>
            </w:r>
          </w:p>
        </w:tc>
        <w:tc>
          <w:tcPr>
            <w:tcW w:w="318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1,757,074.49</w:t>
            </w:r>
          </w:p>
        </w:tc>
      </w:tr>
    </w:tbl>
    <w:p w:rsidR="00A9288A" w:rsidRDefault="007A4434">
      <w:pPr>
        <w:pStyle w:val="Section"/>
        <w:outlineLvl w:val="2"/>
        <w:rPr>
          <w:rFonts w:eastAsia="Times New Roman" w:cs="Times New Roman"/>
        </w:rPr>
      </w:pPr>
      <w:r>
        <w:rPr>
          <w:rFonts w:cs="Times New Roman"/>
        </w:rPr>
        <w:t>67</w:t>
      </w:r>
      <w:r>
        <w:rPr>
          <w:rFonts w:hint="eastAsia"/>
        </w:rPr>
        <w:t>、公允价值变动收益</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7"/>
        <w:gridCol w:w="3193"/>
        <w:gridCol w:w="3189"/>
      </w:tblGrid>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产生公允价值变动收益的来源</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上期发生额</w:t>
            </w:r>
          </w:p>
        </w:tc>
      </w:tr>
    </w:tbl>
    <w:p w:rsidR="00A9288A" w:rsidRDefault="007A4434">
      <w:pPr>
        <w:pStyle w:val="Section"/>
        <w:outlineLvl w:val="2"/>
        <w:rPr>
          <w:rFonts w:eastAsia="Times New Roman" w:cs="Times New Roman"/>
        </w:rPr>
      </w:pPr>
      <w:r>
        <w:rPr>
          <w:rFonts w:cs="Times New Roman"/>
        </w:rPr>
        <w:lastRenderedPageBreak/>
        <w:t>68</w:t>
      </w:r>
      <w:r>
        <w:rPr>
          <w:rFonts w:hint="eastAsia"/>
        </w:rPr>
        <w:t>、投资收益</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460"/>
        <w:gridCol w:w="3190"/>
        <w:gridCol w:w="2918"/>
      </w:tblGrid>
      <w:tr w:rsidR="00A9288A">
        <w:tc>
          <w:tcPr>
            <w:tcW w:w="346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c>
          <w:tcPr>
            <w:tcW w:w="291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上期发生额</w:t>
            </w:r>
          </w:p>
        </w:tc>
      </w:tr>
      <w:tr w:rsidR="00A9288A">
        <w:tc>
          <w:tcPr>
            <w:tcW w:w="346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权益法核算的长期股权投资收益</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-2,455,324.52</w:t>
            </w:r>
          </w:p>
        </w:tc>
        <w:tc>
          <w:tcPr>
            <w:tcW w:w="291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-2,340,257.61</w:t>
            </w:r>
          </w:p>
        </w:tc>
      </w:tr>
      <w:tr w:rsidR="00A9288A">
        <w:tc>
          <w:tcPr>
            <w:tcW w:w="346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银行理财产品收益</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743,345.20</w:t>
            </w:r>
          </w:p>
        </w:tc>
        <w:tc>
          <w:tcPr>
            <w:tcW w:w="291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4,252,803.15</w:t>
            </w:r>
          </w:p>
        </w:tc>
      </w:tr>
      <w:tr w:rsidR="00A9288A">
        <w:tc>
          <w:tcPr>
            <w:tcW w:w="346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处置长期股权投资产生的投资收益</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28,125.39</w:t>
            </w:r>
          </w:p>
        </w:tc>
        <w:tc>
          <w:tcPr>
            <w:tcW w:w="291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346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90"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-1,683,853.93</w:t>
            </w:r>
          </w:p>
        </w:tc>
        <w:tc>
          <w:tcPr>
            <w:tcW w:w="2918"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1,912,545.54</w:t>
            </w:r>
          </w:p>
        </w:tc>
      </w:tr>
    </w:tbl>
    <w:p w:rsidR="00A9288A" w:rsidRDefault="007A4434">
      <w:pPr>
        <w:jc w:val="left"/>
        <w:rPr>
          <w:rFonts w:eastAsia="Times New Roman" w:cs="Times New Roman"/>
        </w:rPr>
      </w:pPr>
      <w:r>
        <w:rPr>
          <w:rFonts w:hint="eastAsia"/>
        </w:rPr>
        <w:t>其他说明：</w:t>
      </w:r>
    </w:p>
    <w:p w:rsidR="00A9288A" w:rsidRDefault="007A4434">
      <w:pPr>
        <w:pStyle w:val="Section"/>
        <w:outlineLvl w:val="2"/>
        <w:rPr>
          <w:rFonts w:eastAsia="Times New Roman" w:cs="Times New Roman"/>
        </w:rPr>
      </w:pPr>
      <w:r>
        <w:rPr>
          <w:rFonts w:cs="Times New Roman"/>
        </w:rPr>
        <w:t>69</w:t>
      </w:r>
      <w:r>
        <w:rPr>
          <w:rFonts w:hint="eastAsia"/>
        </w:rPr>
        <w:t>、资产处置收益</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9"/>
        <w:gridCol w:w="3190"/>
        <w:gridCol w:w="3190"/>
      </w:tblGrid>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资产处置收益的来源</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上期发生额</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出售固定资产收益</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312,522.81</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合计</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312,522.81</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bl>
    <w:p w:rsidR="00A9288A" w:rsidRDefault="007A4434">
      <w:pPr>
        <w:pStyle w:val="Section"/>
        <w:outlineLvl w:val="2"/>
        <w:rPr>
          <w:rFonts w:eastAsia="Times New Roman" w:cs="Times New Roman"/>
        </w:rPr>
      </w:pPr>
      <w:r>
        <w:rPr>
          <w:rFonts w:cs="Times New Roman"/>
        </w:rPr>
        <w:t>70</w:t>
      </w:r>
      <w:r>
        <w:rPr>
          <w:rFonts w:hint="eastAsia"/>
        </w:rPr>
        <w:t>、其他收益</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9"/>
        <w:gridCol w:w="3190"/>
        <w:gridCol w:w="3190"/>
      </w:tblGrid>
      <w:tr w:rsidR="00A9288A">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产生其他收益的来源</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上期发生额</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软件退税</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3,750,723.87</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5,450,499.11</w:t>
            </w: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研发、产业化等补助</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15,790,334.48</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合计</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19,541,058.35</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5,450,499.11</w:t>
            </w:r>
          </w:p>
        </w:tc>
      </w:tr>
    </w:tbl>
    <w:p w:rsidR="00A9288A" w:rsidRDefault="007A4434">
      <w:pPr>
        <w:pStyle w:val="Section"/>
        <w:outlineLvl w:val="2"/>
        <w:rPr>
          <w:rFonts w:eastAsia="Times New Roman" w:cs="Times New Roman"/>
        </w:rPr>
      </w:pPr>
      <w:r>
        <w:rPr>
          <w:rFonts w:cs="Times New Roman"/>
        </w:rPr>
        <w:t>71</w:t>
      </w:r>
      <w:r>
        <w:rPr>
          <w:rFonts w:hint="eastAsia"/>
        </w:rPr>
        <w:t>、营业外收入</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2389"/>
        <w:gridCol w:w="2395"/>
        <w:gridCol w:w="2392"/>
        <w:gridCol w:w="2392"/>
      </w:tblGrid>
      <w:tr w:rsidR="00A9288A">
        <w:tc>
          <w:tcPr>
            <w:tcW w:w="23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239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上期发生额</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计入当期非经常性损益的金额</w:t>
            </w:r>
          </w:p>
        </w:tc>
      </w:tr>
      <w:tr w:rsidR="007F53C6">
        <w:tc>
          <w:tcPr>
            <w:tcW w:w="2389" w:type="dxa"/>
            <w:tcBorders>
              <w:top w:val="single" w:sz="4" w:space="0" w:color="auto"/>
              <w:left w:val="single" w:sz="4" w:space="0" w:color="auto"/>
              <w:bottom w:val="single" w:sz="4" w:space="0" w:color="auto"/>
              <w:right w:val="single" w:sz="4" w:space="0" w:color="auto"/>
            </w:tcBorders>
            <w:shd w:val="clear" w:color="auto" w:fill="D3D3D3"/>
            <w:vAlign w:val="center"/>
          </w:tcPr>
          <w:p w:rsidR="007F53C6" w:rsidRDefault="007F53C6" w:rsidP="007F53C6">
            <w:pPr>
              <w:jc w:val="left"/>
              <w:rPr>
                <w:rFonts w:eastAsia="Times New Roman" w:cs="Times New Roman"/>
              </w:rPr>
            </w:pPr>
            <w:r>
              <w:rPr>
                <w:rFonts w:hint="eastAsia"/>
              </w:rPr>
              <w:t>政府补助</w:t>
            </w:r>
          </w:p>
        </w:tc>
        <w:tc>
          <w:tcPr>
            <w:tcW w:w="2395" w:type="dxa"/>
            <w:tcBorders>
              <w:top w:val="single" w:sz="4" w:space="0" w:color="auto"/>
              <w:left w:val="single" w:sz="4" w:space="0" w:color="auto"/>
              <w:bottom w:val="single" w:sz="4" w:space="0" w:color="auto"/>
              <w:right w:val="single" w:sz="4" w:space="0" w:color="auto"/>
            </w:tcBorders>
            <w:shd w:val="clear" w:color="auto" w:fill="FFFFFF"/>
            <w:vAlign w:val="center"/>
          </w:tcPr>
          <w:p w:rsidR="007F53C6" w:rsidRDefault="007F53C6" w:rsidP="007F53C6">
            <w:pPr>
              <w:jc w:val="right"/>
              <w:rPr>
                <w:rFonts w:cs="Times New Roman"/>
              </w:rPr>
            </w:pPr>
            <w:r>
              <w:rPr>
                <w:rFonts w:cs="Times New Roman"/>
              </w:rPr>
              <w:t>125,230.00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7F53C6" w:rsidRDefault="007F53C6" w:rsidP="007F53C6">
            <w:pPr>
              <w:jc w:val="right"/>
              <w:rPr>
                <w:rFonts w:cs="Times New Roman"/>
              </w:rPr>
            </w:pPr>
            <w:r>
              <w:rPr>
                <w:rFonts w:cs="Times New Roman"/>
              </w:rPr>
              <w:t>12,282,418.83</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7F53C6" w:rsidRDefault="007F53C6" w:rsidP="007F53C6">
            <w:pPr>
              <w:jc w:val="right"/>
              <w:rPr>
                <w:rFonts w:cs="Times New Roman"/>
              </w:rPr>
            </w:pPr>
            <w:r>
              <w:rPr>
                <w:rFonts w:cs="Times New Roman"/>
              </w:rPr>
              <w:t>125,230.00</w:t>
            </w:r>
          </w:p>
        </w:tc>
      </w:tr>
      <w:tr w:rsidR="007F53C6">
        <w:tc>
          <w:tcPr>
            <w:tcW w:w="2389" w:type="dxa"/>
            <w:tcBorders>
              <w:top w:val="single" w:sz="4" w:space="0" w:color="auto"/>
              <w:left w:val="single" w:sz="4" w:space="0" w:color="auto"/>
              <w:bottom w:val="single" w:sz="4" w:space="0" w:color="auto"/>
              <w:right w:val="single" w:sz="4" w:space="0" w:color="auto"/>
            </w:tcBorders>
            <w:shd w:val="clear" w:color="auto" w:fill="FFFFFF"/>
            <w:vAlign w:val="center"/>
          </w:tcPr>
          <w:p w:rsidR="007F53C6" w:rsidRDefault="007F53C6" w:rsidP="007F53C6">
            <w:pPr>
              <w:jc w:val="left"/>
              <w:rPr>
                <w:rFonts w:eastAsia="Times New Roman" w:cs="Times New Roman"/>
              </w:rPr>
            </w:pPr>
            <w:r>
              <w:rPr>
                <w:rFonts w:hint="eastAsia"/>
              </w:rPr>
              <w:t>其他</w:t>
            </w:r>
          </w:p>
        </w:tc>
        <w:tc>
          <w:tcPr>
            <w:tcW w:w="2395" w:type="dxa"/>
            <w:tcBorders>
              <w:top w:val="single" w:sz="4" w:space="0" w:color="auto"/>
              <w:left w:val="single" w:sz="4" w:space="0" w:color="auto"/>
              <w:bottom w:val="single" w:sz="4" w:space="0" w:color="auto"/>
              <w:right w:val="single" w:sz="4" w:space="0" w:color="auto"/>
            </w:tcBorders>
            <w:shd w:val="clear" w:color="auto" w:fill="FFFFFF"/>
            <w:vAlign w:val="center"/>
          </w:tcPr>
          <w:p w:rsidR="007F53C6" w:rsidRDefault="007F53C6" w:rsidP="007F53C6">
            <w:pPr>
              <w:jc w:val="right"/>
              <w:rPr>
                <w:rFonts w:cs="Times New Roman"/>
              </w:rPr>
            </w:pPr>
            <w:r>
              <w:rPr>
                <w:rFonts w:cs="Times New Roman"/>
              </w:rPr>
              <w:t>376,181.83</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7F53C6" w:rsidRDefault="007F53C6" w:rsidP="007F53C6">
            <w:pPr>
              <w:jc w:val="right"/>
              <w:rPr>
                <w:rFonts w:cs="Times New Roman"/>
              </w:rPr>
            </w:pPr>
            <w:r>
              <w:rPr>
                <w:rFonts w:cs="Times New Roman"/>
              </w:rPr>
              <w:t>403,764.17</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7F53C6" w:rsidRDefault="007F53C6" w:rsidP="007F53C6">
            <w:pPr>
              <w:jc w:val="right"/>
              <w:rPr>
                <w:rFonts w:cs="Times New Roman"/>
              </w:rPr>
            </w:pPr>
            <w:r>
              <w:rPr>
                <w:rFonts w:cs="Times New Roman"/>
              </w:rPr>
              <w:t>376,181.83</w:t>
            </w:r>
          </w:p>
        </w:tc>
      </w:tr>
      <w:tr w:rsidR="007F53C6">
        <w:tc>
          <w:tcPr>
            <w:tcW w:w="2389" w:type="dxa"/>
            <w:tcBorders>
              <w:top w:val="single" w:sz="4" w:space="0" w:color="auto"/>
              <w:left w:val="single" w:sz="4" w:space="0" w:color="auto"/>
              <w:bottom w:val="single" w:sz="4" w:space="0" w:color="auto"/>
              <w:right w:val="single" w:sz="4" w:space="0" w:color="auto"/>
            </w:tcBorders>
            <w:shd w:val="clear" w:color="auto" w:fill="D3D3D3"/>
            <w:vAlign w:val="center"/>
          </w:tcPr>
          <w:p w:rsidR="007F53C6" w:rsidRDefault="007F53C6" w:rsidP="007F53C6">
            <w:pPr>
              <w:jc w:val="left"/>
              <w:rPr>
                <w:rFonts w:eastAsia="Times New Roman" w:cs="Times New Roman"/>
              </w:rPr>
            </w:pPr>
            <w:r>
              <w:rPr>
                <w:rFonts w:hint="eastAsia"/>
              </w:rPr>
              <w:t>合计</w:t>
            </w:r>
          </w:p>
        </w:tc>
        <w:tc>
          <w:tcPr>
            <w:tcW w:w="2395" w:type="dxa"/>
            <w:tcBorders>
              <w:top w:val="single" w:sz="4" w:space="0" w:color="auto"/>
              <w:left w:val="single" w:sz="4" w:space="0" w:color="auto"/>
              <w:bottom w:val="single" w:sz="4" w:space="0" w:color="auto"/>
              <w:right w:val="single" w:sz="4" w:space="0" w:color="auto"/>
            </w:tcBorders>
            <w:vAlign w:val="center"/>
          </w:tcPr>
          <w:p w:rsidR="007F53C6" w:rsidRDefault="007F53C6" w:rsidP="007F53C6">
            <w:pPr>
              <w:jc w:val="right"/>
              <w:rPr>
                <w:rFonts w:cs="Times New Roman"/>
              </w:rPr>
            </w:pPr>
            <w:r>
              <w:rPr>
                <w:rFonts w:cs="Times New Roman"/>
              </w:rPr>
              <w:t>501,411.83</w:t>
            </w:r>
          </w:p>
        </w:tc>
        <w:tc>
          <w:tcPr>
            <w:tcW w:w="2392" w:type="dxa"/>
            <w:tcBorders>
              <w:top w:val="single" w:sz="4" w:space="0" w:color="auto"/>
              <w:left w:val="single" w:sz="4" w:space="0" w:color="auto"/>
              <w:bottom w:val="single" w:sz="4" w:space="0" w:color="auto"/>
              <w:right w:val="single" w:sz="4" w:space="0" w:color="auto"/>
            </w:tcBorders>
            <w:vAlign w:val="center"/>
          </w:tcPr>
          <w:p w:rsidR="007F53C6" w:rsidRDefault="007F53C6" w:rsidP="007F53C6">
            <w:pPr>
              <w:jc w:val="right"/>
              <w:rPr>
                <w:rFonts w:cs="Times New Roman"/>
              </w:rPr>
            </w:pPr>
            <w:r>
              <w:rPr>
                <w:rFonts w:cs="Times New Roman"/>
              </w:rPr>
              <w:t>12,686,183.00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7F53C6" w:rsidRDefault="007F53C6" w:rsidP="007F53C6">
            <w:pPr>
              <w:jc w:val="right"/>
              <w:rPr>
                <w:rFonts w:cs="Times New Roman"/>
              </w:rPr>
            </w:pPr>
            <w:r>
              <w:rPr>
                <w:rFonts w:cs="Times New Roman"/>
              </w:rPr>
              <w:t>501,411.83</w:t>
            </w:r>
          </w:p>
        </w:tc>
      </w:tr>
    </w:tbl>
    <w:p w:rsidR="00A9288A" w:rsidRDefault="007A4434">
      <w:pPr>
        <w:jc w:val="left"/>
        <w:rPr>
          <w:rFonts w:eastAsia="Times New Roman" w:cs="Times New Roman"/>
        </w:rPr>
      </w:pPr>
      <w:r>
        <w:rPr>
          <w:rFonts w:hint="eastAsia"/>
        </w:rPr>
        <w:t>计入当期损益的政府补助：</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065"/>
        <w:gridCol w:w="1063"/>
        <w:gridCol w:w="1063"/>
        <w:gridCol w:w="1063"/>
        <w:gridCol w:w="1063"/>
        <w:gridCol w:w="1063"/>
        <w:gridCol w:w="1063"/>
        <w:gridCol w:w="1063"/>
        <w:gridCol w:w="1063"/>
      </w:tblGrid>
      <w:tr w:rsidR="00A9288A">
        <w:tc>
          <w:tcPr>
            <w:tcW w:w="106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补助项目</w:t>
            </w:r>
          </w:p>
        </w:tc>
        <w:tc>
          <w:tcPr>
            <w:tcW w:w="106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发放主体</w:t>
            </w:r>
          </w:p>
        </w:tc>
        <w:tc>
          <w:tcPr>
            <w:tcW w:w="106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发放原因</w:t>
            </w:r>
          </w:p>
        </w:tc>
        <w:tc>
          <w:tcPr>
            <w:tcW w:w="106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性质类型</w:t>
            </w:r>
          </w:p>
        </w:tc>
        <w:tc>
          <w:tcPr>
            <w:tcW w:w="106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补贴是否影响当年盈亏</w:t>
            </w:r>
          </w:p>
        </w:tc>
        <w:tc>
          <w:tcPr>
            <w:tcW w:w="106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是否特殊补贴</w:t>
            </w:r>
          </w:p>
        </w:tc>
        <w:tc>
          <w:tcPr>
            <w:tcW w:w="106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本期发生金额</w:t>
            </w:r>
          </w:p>
        </w:tc>
        <w:tc>
          <w:tcPr>
            <w:tcW w:w="106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上期发生金额</w:t>
            </w:r>
          </w:p>
        </w:tc>
        <w:tc>
          <w:tcPr>
            <w:tcW w:w="106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与资产相关</w:t>
            </w:r>
            <w:r>
              <w:rPr>
                <w:rFonts w:cs="Times New Roman"/>
              </w:rPr>
              <w:t>/</w:t>
            </w:r>
            <w:r>
              <w:rPr>
                <w:rFonts w:hint="eastAsia"/>
              </w:rPr>
              <w:t>与收益相关</w:t>
            </w:r>
          </w:p>
        </w:tc>
      </w:tr>
      <w:tr w:rsidR="00A9288A">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远洋船舶通</w:t>
            </w:r>
            <w:r>
              <w:rPr>
                <w:rFonts w:hint="eastAsia"/>
              </w:rPr>
              <w:lastRenderedPageBreak/>
              <w:t>导电子系统技术外贸公共服务平台</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lastRenderedPageBreak/>
              <w:t xml:space="preserve">" </w:t>
            </w:r>
            <w:r>
              <w:rPr>
                <w:rFonts w:hint="eastAsia"/>
              </w:rPr>
              <w:t>北京市商</w:t>
            </w:r>
            <w:r>
              <w:rPr>
                <w:rFonts w:hint="eastAsia"/>
              </w:rPr>
              <w:lastRenderedPageBreak/>
              <w:t>务局</w:t>
            </w:r>
            <w:r>
              <w:rPr>
                <w:rFonts w:cs="Times New Roman"/>
              </w:rPr>
              <w:t xml:space="preserve"> "</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lastRenderedPageBreak/>
              <w:t>奖励</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因从事国家</w:t>
            </w:r>
            <w:r>
              <w:rPr>
                <w:rFonts w:hint="eastAsia"/>
              </w:rPr>
              <w:lastRenderedPageBreak/>
              <w:t>鼓励和扶持特定行业、产业而获得的补助（按国家级政策规定依法取得）</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lastRenderedPageBreak/>
              <w:t>是</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215,175.00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与资产相关</w:t>
            </w:r>
          </w:p>
        </w:tc>
      </w:tr>
      <w:tr w:rsidR="00A9288A">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lastRenderedPageBreak/>
              <w:t>雷达系统技术研发及产业化项目</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北京市发改委</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补助</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因研究开发、技术更新及改造等获得的补助</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是</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348,000.00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与资产相关</w:t>
            </w:r>
          </w:p>
        </w:tc>
      </w:tr>
      <w:tr w:rsidR="00A9288A">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北京市科技计划课题任务书</w:t>
            </w:r>
            <w:r>
              <w:rPr>
                <w:rFonts w:eastAsia="Times New Roman" w:cs="Times New Roman"/>
              </w:rPr>
              <w:t>--</w:t>
            </w:r>
            <w:r>
              <w:rPr>
                <w:rFonts w:hint="eastAsia"/>
              </w:rPr>
              <w:t>船舶全航迹综合控制系统研制</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北京市科委</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补助</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因研究开发、技术更新及改造等获得的补助</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是</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24,499.80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与资产相关</w:t>
            </w:r>
          </w:p>
        </w:tc>
      </w:tr>
      <w:tr w:rsidR="00A9288A">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船舶电气系统集成生产建设项目</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国家发改委</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补助</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因从事国家鼓励和扶持特定行业、产业而获得的补助（按国家级政策规定依法取得）</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是</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90,375.00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与资产相关</w:t>
            </w:r>
          </w:p>
        </w:tc>
      </w:tr>
      <w:tr w:rsidR="00A9288A">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船舶导航信息技术北京市工程实验室创新能力建设项目</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北京市发改委</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补助</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因研究开发、技术更新及改造等获得的补助</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是</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1,020,000.00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与资产相关</w:t>
            </w:r>
          </w:p>
        </w:tc>
      </w:tr>
      <w:tr w:rsidR="00A9288A">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其他</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政府</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奖励</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因符合地方政府招商引资等地方性扶持政策而获得的补助</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是</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125,230.00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1,700,835.70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与收益相关</w:t>
            </w:r>
          </w:p>
        </w:tc>
      </w:tr>
      <w:tr w:rsidR="00A9288A">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智慧桥综合船舶导航系统（</w:t>
            </w:r>
            <w:r>
              <w:rPr>
                <w:rFonts w:cs="Times New Roman"/>
              </w:rPr>
              <w:t>INS</w:t>
            </w:r>
            <w:r>
              <w:rPr>
                <w:rFonts w:hint="eastAsia"/>
              </w:rPr>
              <w:t>）关键技术研发及产业化项目</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北京市经信委</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补助</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因研究开发、技术更新及改造等获得的补助</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是</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1,000,200.00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与资产相关</w:t>
            </w:r>
          </w:p>
        </w:tc>
      </w:tr>
      <w:tr w:rsidR="00A9288A">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全自主式海面无人艇智能控制系统</w:t>
            </w:r>
            <w:r>
              <w:rPr>
                <w:rFonts w:hint="eastAsia"/>
              </w:rPr>
              <w:lastRenderedPageBreak/>
              <w:t>研制及应用验证</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lastRenderedPageBreak/>
              <w:t>北京市科学技术委员会</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补助</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因研究开发、技术更新及改造等获得</w:t>
            </w:r>
            <w:r>
              <w:rPr>
                <w:rFonts w:hint="eastAsia"/>
              </w:rPr>
              <w:lastRenderedPageBreak/>
              <w:t>的补助</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lastRenderedPageBreak/>
              <w:t>是</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3,000,000.00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与收益相关</w:t>
            </w:r>
          </w:p>
        </w:tc>
      </w:tr>
      <w:tr w:rsidR="00A9288A">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lastRenderedPageBreak/>
              <w:t>智能船舶</w:t>
            </w:r>
            <w:r>
              <w:rPr>
                <w:rFonts w:cs="Times New Roman"/>
              </w:rPr>
              <w:t>1.0</w:t>
            </w:r>
            <w:r>
              <w:rPr>
                <w:rFonts w:hint="eastAsia"/>
              </w:rPr>
              <w:t>研发专项</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上海船舶研究设计院</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补助</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因研究开发、技术更新及改造等获得的补助</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是</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4,883,333.33</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与收益相关</w:t>
            </w:r>
          </w:p>
        </w:tc>
      </w:tr>
      <w:tr w:rsidR="00A9288A">
        <w:tc>
          <w:tcPr>
            <w:tcW w:w="106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106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106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106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106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106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125,230.00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12,282,418.83</w:t>
            </w:r>
          </w:p>
        </w:tc>
        <w:tc>
          <w:tcPr>
            <w:tcW w:w="106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r>
    </w:tbl>
    <w:p w:rsidR="00A9288A" w:rsidRDefault="007A4434">
      <w:pPr>
        <w:pStyle w:val="Section"/>
        <w:outlineLvl w:val="2"/>
        <w:rPr>
          <w:rFonts w:eastAsia="Times New Roman" w:cs="Times New Roman"/>
        </w:rPr>
      </w:pPr>
      <w:r>
        <w:rPr>
          <w:rFonts w:cs="Times New Roman"/>
        </w:rPr>
        <w:t>72</w:t>
      </w:r>
      <w:r>
        <w:rPr>
          <w:rFonts w:hint="eastAsia"/>
        </w:rPr>
        <w:t>、营业外支出</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2389"/>
        <w:gridCol w:w="2395"/>
        <w:gridCol w:w="2392"/>
        <w:gridCol w:w="2392"/>
      </w:tblGrid>
      <w:tr w:rsidR="00A9288A">
        <w:tc>
          <w:tcPr>
            <w:tcW w:w="23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239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上期发生额</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计入当期非经常性损益的金额</w:t>
            </w:r>
          </w:p>
        </w:tc>
      </w:tr>
      <w:tr w:rsidR="00A9288A">
        <w:tc>
          <w:tcPr>
            <w:tcW w:w="23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非流动资产处置损失合计</w:t>
            </w:r>
          </w:p>
        </w:tc>
        <w:tc>
          <w:tcPr>
            <w:tcW w:w="23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218,550.92</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23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其中：固定资产处置损失</w:t>
            </w:r>
          </w:p>
        </w:tc>
        <w:tc>
          <w:tcPr>
            <w:tcW w:w="23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218,550.92</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23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其他</w:t>
            </w:r>
          </w:p>
        </w:tc>
        <w:tc>
          <w:tcPr>
            <w:tcW w:w="23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183,836.79</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134,821.53</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183,836.79</w:t>
            </w:r>
          </w:p>
        </w:tc>
      </w:tr>
      <w:tr w:rsidR="00A9288A">
        <w:tc>
          <w:tcPr>
            <w:tcW w:w="23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2395"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183,836.79</w:t>
            </w:r>
          </w:p>
        </w:tc>
        <w:tc>
          <w:tcPr>
            <w:tcW w:w="2392"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353,372.45</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183,836.79</w:t>
            </w:r>
          </w:p>
        </w:tc>
      </w:tr>
    </w:tbl>
    <w:p w:rsidR="00A9288A" w:rsidRDefault="007A4434">
      <w:pPr>
        <w:pStyle w:val="Section"/>
        <w:outlineLvl w:val="2"/>
        <w:rPr>
          <w:rFonts w:eastAsia="Times New Roman" w:cs="Times New Roman"/>
        </w:rPr>
      </w:pPr>
      <w:r>
        <w:rPr>
          <w:rFonts w:cs="Times New Roman"/>
        </w:rPr>
        <w:t>73</w:t>
      </w:r>
      <w:r>
        <w:rPr>
          <w:rFonts w:hint="eastAsia"/>
        </w:rPr>
        <w:t>、所得税费用</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）所得税费用表</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7"/>
        <w:gridCol w:w="3193"/>
        <w:gridCol w:w="3189"/>
      </w:tblGrid>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上期发生额</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当期所得税费用</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7,460,478.06</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10,785,693.58</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递延所得税费用</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4,278,224.61</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1,738,959.32</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11,738,702.67</w:t>
            </w:r>
          </w:p>
        </w:tc>
        <w:tc>
          <w:tcPr>
            <w:tcW w:w="318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12,524,652.90</w:t>
            </w:r>
          </w:p>
        </w:tc>
      </w:tr>
    </w:tbl>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）会计利润与所得税费用调整过程</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4779"/>
        <w:gridCol w:w="4789"/>
      </w:tblGrid>
      <w:tr w:rsidR="00A9288A">
        <w:tc>
          <w:tcPr>
            <w:tcW w:w="477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47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r>
      <w:tr w:rsidR="00A9288A">
        <w:tc>
          <w:tcPr>
            <w:tcW w:w="477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利润总额</w:t>
            </w:r>
          </w:p>
        </w:tc>
        <w:tc>
          <w:tcPr>
            <w:tcW w:w="478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82,862,885.72</w:t>
            </w:r>
          </w:p>
        </w:tc>
      </w:tr>
      <w:tr w:rsidR="00A9288A">
        <w:tc>
          <w:tcPr>
            <w:tcW w:w="4779" w:type="dxa"/>
            <w:tcBorders>
              <w:top w:val="single" w:sz="4" w:space="0" w:color="auto"/>
              <w:left w:val="single" w:sz="4" w:space="0" w:color="auto"/>
              <w:bottom w:val="single" w:sz="4" w:space="0" w:color="auto"/>
              <w:right w:val="single" w:sz="4" w:space="0" w:color="auto"/>
            </w:tcBorders>
            <w:shd w:val="clear" w:color="auto" w:fill="D3D3D3"/>
            <w:vAlign w:val="bottom"/>
          </w:tcPr>
          <w:p w:rsidR="00A9288A" w:rsidRDefault="007A4434">
            <w:pPr>
              <w:jc w:val="left"/>
              <w:rPr>
                <w:rFonts w:eastAsia="Times New Roman" w:cs="Times New Roman"/>
              </w:rPr>
            </w:pPr>
            <w:r>
              <w:rPr>
                <w:rFonts w:cs="Times New Roman"/>
              </w:rPr>
              <w:t xml:space="preserve"> </w:t>
            </w:r>
            <w:r>
              <w:rPr>
                <w:rFonts w:hint="eastAsia"/>
              </w:rPr>
              <w:t>按法定</w:t>
            </w:r>
            <w:r>
              <w:rPr>
                <w:rFonts w:cs="Times New Roman"/>
              </w:rPr>
              <w:t>[</w:t>
            </w:r>
            <w:r>
              <w:rPr>
                <w:rFonts w:hint="eastAsia"/>
              </w:rPr>
              <w:t>或适用</w:t>
            </w:r>
            <w:r>
              <w:rPr>
                <w:rFonts w:cs="Times New Roman"/>
              </w:rPr>
              <w:t>]</w:t>
            </w:r>
            <w:r>
              <w:rPr>
                <w:rFonts w:hint="eastAsia"/>
              </w:rPr>
              <w:t>税率计算的所得税费用</w:t>
            </w:r>
            <w:r>
              <w:rPr>
                <w:rFonts w:cs="Times New Roman"/>
              </w:rPr>
              <w:t xml:space="preserve"> </w:t>
            </w:r>
          </w:p>
        </w:tc>
        <w:tc>
          <w:tcPr>
            <w:tcW w:w="4789" w:type="dxa"/>
            <w:tcBorders>
              <w:top w:val="single" w:sz="4" w:space="0" w:color="auto"/>
              <w:left w:val="single" w:sz="4" w:space="0" w:color="auto"/>
              <w:bottom w:val="single" w:sz="4" w:space="0" w:color="auto"/>
              <w:right w:val="single" w:sz="4" w:space="0" w:color="auto"/>
            </w:tcBorders>
            <w:vAlign w:val="bottom"/>
          </w:tcPr>
          <w:p w:rsidR="00A9288A" w:rsidRDefault="007A4434">
            <w:pPr>
              <w:jc w:val="right"/>
              <w:rPr>
                <w:rFonts w:cs="Times New Roman"/>
              </w:rPr>
            </w:pPr>
            <w:r>
              <w:rPr>
                <w:rFonts w:cs="Times New Roman"/>
              </w:rPr>
              <w:t xml:space="preserve"> 12,429,432.86 </w:t>
            </w:r>
          </w:p>
        </w:tc>
      </w:tr>
      <w:tr w:rsidR="00A9288A">
        <w:tc>
          <w:tcPr>
            <w:tcW w:w="4779" w:type="dxa"/>
            <w:tcBorders>
              <w:top w:val="single" w:sz="4" w:space="0" w:color="auto"/>
              <w:left w:val="single" w:sz="4" w:space="0" w:color="auto"/>
              <w:bottom w:val="single" w:sz="4" w:space="0" w:color="auto"/>
              <w:right w:val="single" w:sz="4" w:space="0" w:color="auto"/>
            </w:tcBorders>
            <w:shd w:val="clear" w:color="auto" w:fill="D3D3D3"/>
            <w:vAlign w:val="bottom"/>
          </w:tcPr>
          <w:p w:rsidR="00A9288A" w:rsidRDefault="007A4434">
            <w:pPr>
              <w:jc w:val="left"/>
              <w:rPr>
                <w:rFonts w:cs="Times New Roman"/>
              </w:rPr>
            </w:pPr>
            <w:r>
              <w:rPr>
                <w:rFonts w:cs="Times New Roman"/>
              </w:rPr>
              <w:t xml:space="preserve"> </w:t>
            </w:r>
            <w:r>
              <w:rPr>
                <w:rFonts w:hint="eastAsia"/>
              </w:rPr>
              <w:t>某些子公司适用不同税率的影响</w:t>
            </w:r>
            <w:r>
              <w:rPr>
                <w:rFonts w:cs="Times New Roman"/>
              </w:rPr>
              <w:t xml:space="preserve"> </w:t>
            </w:r>
          </w:p>
        </w:tc>
        <w:tc>
          <w:tcPr>
            <w:tcW w:w="4789" w:type="dxa"/>
            <w:tcBorders>
              <w:top w:val="single" w:sz="4" w:space="0" w:color="auto"/>
              <w:left w:val="single" w:sz="4" w:space="0" w:color="auto"/>
              <w:bottom w:val="single" w:sz="4" w:space="0" w:color="auto"/>
              <w:right w:val="single" w:sz="4" w:space="0" w:color="auto"/>
            </w:tcBorders>
            <w:vAlign w:val="bottom"/>
          </w:tcPr>
          <w:p w:rsidR="00A9288A" w:rsidRDefault="007A4434">
            <w:pPr>
              <w:jc w:val="right"/>
              <w:rPr>
                <w:rFonts w:cs="Times New Roman"/>
              </w:rPr>
            </w:pPr>
            <w:r>
              <w:rPr>
                <w:rFonts w:cs="Times New Roman"/>
              </w:rPr>
              <w:t xml:space="preserve"> 1,583,144.63 </w:t>
            </w:r>
          </w:p>
        </w:tc>
      </w:tr>
      <w:tr w:rsidR="00A9288A">
        <w:tc>
          <w:tcPr>
            <w:tcW w:w="4779" w:type="dxa"/>
            <w:tcBorders>
              <w:top w:val="single" w:sz="4" w:space="0" w:color="auto"/>
              <w:left w:val="single" w:sz="4" w:space="0" w:color="auto"/>
              <w:bottom w:val="single" w:sz="4" w:space="0" w:color="auto"/>
              <w:right w:val="single" w:sz="4" w:space="0" w:color="auto"/>
            </w:tcBorders>
            <w:shd w:val="clear" w:color="auto" w:fill="D3D3D3"/>
            <w:vAlign w:val="bottom"/>
          </w:tcPr>
          <w:p w:rsidR="00A9288A" w:rsidRDefault="007A4434">
            <w:pPr>
              <w:jc w:val="left"/>
              <w:rPr>
                <w:rFonts w:cs="Times New Roman"/>
              </w:rPr>
            </w:pPr>
            <w:r>
              <w:rPr>
                <w:rFonts w:cs="Times New Roman"/>
              </w:rPr>
              <w:t xml:space="preserve"> </w:t>
            </w:r>
            <w:r>
              <w:rPr>
                <w:rFonts w:hint="eastAsia"/>
              </w:rPr>
              <w:t>调整以前期间当期所得税的调整</w:t>
            </w:r>
            <w:r>
              <w:rPr>
                <w:rFonts w:cs="Times New Roman"/>
              </w:rPr>
              <w:t xml:space="preserve"> </w:t>
            </w:r>
          </w:p>
        </w:tc>
        <w:tc>
          <w:tcPr>
            <w:tcW w:w="4789" w:type="dxa"/>
            <w:tcBorders>
              <w:top w:val="single" w:sz="4" w:space="0" w:color="auto"/>
              <w:left w:val="single" w:sz="4" w:space="0" w:color="auto"/>
              <w:bottom w:val="single" w:sz="4" w:space="0" w:color="auto"/>
              <w:right w:val="single" w:sz="4" w:space="0" w:color="auto"/>
            </w:tcBorders>
            <w:vAlign w:val="bottom"/>
          </w:tcPr>
          <w:p w:rsidR="00A9288A" w:rsidRDefault="007A4434">
            <w:pPr>
              <w:jc w:val="right"/>
              <w:rPr>
                <w:rFonts w:cs="Times New Roman"/>
              </w:rPr>
            </w:pPr>
            <w:r>
              <w:rPr>
                <w:rFonts w:cs="Times New Roman"/>
              </w:rPr>
              <w:t xml:space="preserve"> -2,228,572.09 </w:t>
            </w:r>
          </w:p>
        </w:tc>
      </w:tr>
      <w:tr w:rsidR="00A9288A">
        <w:tc>
          <w:tcPr>
            <w:tcW w:w="4779" w:type="dxa"/>
            <w:tcBorders>
              <w:top w:val="single" w:sz="4" w:space="0" w:color="auto"/>
              <w:left w:val="single" w:sz="4" w:space="0" w:color="auto"/>
              <w:bottom w:val="single" w:sz="4" w:space="0" w:color="auto"/>
              <w:right w:val="single" w:sz="4" w:space="0" w:color="auto"/>
            </w:tcBorders>
            <w:shd w:val="clear" w:color="auto" w:fill="D3D3D3"/>
            <w:vAlign w:val="bottom"/>
          </w:tcPr>
          <w:p w:rsidR="00A9288A" w:rsidRDefault="007A4434">
            <w:pPr>
              <w:jc w:val="left"/>
              <w:rPr>
                <w:rFonts w:cs="Times New Roman"/>
              </w:rPr>
            </w:pPr>
            <w:r>
              <w:rPr>
                <w:rFonts w:cs="Times New Roman"/>
              </w:rPr>
              <w:t xml:space="preserve"> </w:t>
            </w:r>
            <w:r>
              <w:rPr>
                <w:rFonts w:hint="eastAsia"/>
              </w:rPr>
              <w:t>非应税收入的影响</w:t>
            </w:r>
            <w:r>
              <w:rPr>
                <w:rFonts w:cs="Times New Roman"/>
              </w:rPr>
              <w:t xml:space="preserve"> </w:t>
            </w:r>
          </w:p>
        </w:tc>
        <w:tc>
          <w:tcPr>
            <w:tcW w:w="4789" w:type="dxa"/>
            <w:tcBorders>
              <w:top w:val="single" w:sz="4" w:space="0" w:color="auto"/>
              <w:left w:val="single" w:sz="4" w:space="0" w:color="auto"/>
              <w:bottom w:val="single" w:sz="4" w:space="0" w:color="auto"/>
              <w:right w:val="single" w:sz="4" w:space="0" w:color="auto"/>
            </w:tcBorders>
            <w:vAlign w:val="bottom"/>
          </w:tcPr>
          <w:p w:rsidR="00A9288A" w:rsidRDefault="007A4434">
            <w:pPr>
              <w:jc w:val="right"/>
              <w:rPr>
                <w:rFonts w:cs="Times New Roman"/>
              </w:rPr>
            </w:pPr>
            <w:r>
              <w:rPr>
                <w:rFonts w:cs="Times New Roman"/>
              </w:rPr>
              <w:t xml:space="preserve"> 223,393.70 </w:t>
            </w:r>
          </w:p>
        </w:tc>
      </w:tr>
      <w:tr w:rsidR="00A9288A">
        <w:tc>
          <w:tcPr>
            <w:tcW w:w="4779" w:type="dxa"/>
            <w:tcBorders>
              <w:top w:val="single" w:sz="4" w:space="0" w:color="auto"/>
              <w:left w:val="single" w:sz="4" w:space="0" w:color="auto"/>
              <w:bottom w:val="single" w:sz="4" w:space="0" w:color="auto"/>
              <w:right w:val="single" w:sz="4" w:space="0" w:color="auto"/>
            </w:tcBorders>
            <w:shd w:val="clear" w:color="auto" w:fill="D3D3D3"/>
            <w:vAlign w:val="bottom"/>
          </w:tcPr>
          <w:p w:rsidR="00A9288A" w:rsidRDefault="007A4434">
            <w:pPr>
              <w:jc w:val="left"/>
              <w:rPr>
                <w:rFonts w:cs="Times New Roman"/>
              </w:rPr>
            </w:pPr>
            <w:r>
              <w:rPr>
                <w:rFonts w:cs="Times New Roman"/>
              </w:rPr>
              <w:t xml:space="preserve"> </w:t>
            </w:r>
            <w:r>
              <w:rPr>
                <w:rFonts w:hint="eastAsia"/>
              </w:rPr>
              <w:t>不可抵扣的费用、成本、损失的影响</w:t>
            </w:r>
            <w:r>
              <w:rPr>
                <w:rFonts w:cs="Times New Roman"/>
              </w:rPr>
              <w:t xml:space="preserve"> </w:t>
            </w:r>
          </w:p>
        </w:tc>
        <w:tc>
          <w:tcPr>
            <w:tcW w:w="4789" w:type="dxa"/>
            <w:tcBorders>
              <w:top w:val="single" w:sz="4" w:space="0" w:color="auto"/>
              <w:left w:val="single" w:sz="4" w:space="0" w:color="auto"/>
              <w:bottom w:val="single" w:sz="4" w:space="0" w:color="auto"/>
              <w:right w:val="single" w:sz="4" w:space="0" w:color="auto"/>
            </w:tcBorders>
            <w:vAlign w:val="bottom"/>
          </w:tcPr>
          <w:p w:rsidR="00A9288A" w:rsidRDefault="007A4434">
            <w:pPr>
              <w:jc w:val="right"/>
              <w:rPr>
                <w:rFonts w:cs="Times New Roman"/>
              </w:rPr>
            </w:pPr>
            <w:r>
              <w:rPr>
                <w:rFonts w:cs="Times New Roman"/>
              </w:rPr>
              <w:t xml:space="preserve"> 2,061.42 </w:t>
            </w:r>
          </w:p>
        </w:tc>
      </w:tr>
      <w:tr w:rsidR="00A9288A">
        <w:tc>
          <w:tcPr>
            <w:tcW w:w="4779" w:type="dxa"/>
            <w:tcBorders>
              <w:top w:val="single" w:sz="4" w:space="0" w:color="auto"/>
              <w:left w:val="single" w:sz="4" w:space="0" w:color="auto"/>
              <w:bottom w:val="single" w:sz="4" w:space="0" w:color="auto"/>
              <w:right w:val="single" w:sz="4" w:space="0" w:color="auto"/>
            </w:tcBorders>
            <w:shd w:val="clear" w:color="auto" w:fill="D3D3D3"/>
            <w:vAlign w:val="bottom"/>
          </w:tcPr>
          <w:p w:rsidR="00A9288A" w:rsidRDefault="007A4434">
            <w:pPr>
              <w:jc w:val="left"/>
              <w:rPr>
                <w:rFonts w:cs="Times New Roman"/>
              </w:rPr>
            </w:pPr>
            <w:r>
              <w:rPr>
                <w:rFonts w:cs="Times New Roman"/>
              </w:rPr>
              <w:lastRenderedPageBreak/>
              <w:t xml:space="preserve"> </w:t>
            </w:r>
            <w:r>
              <w:rPr>
                <w:rFonts w:hint="eastAsia"/>
              </w:rPr>
              <w:t>使用前期未确认递延所得税资产的可抵扣亏损的影响</w:t>
            </w:r>
            <w:r>
              <w:rPr>
                <w:rFonts w:cs="Times New Roman"/>
              </w:rPr>
              <w:t xml:space="preserve"> </w:t>
            </w:r>
          </w:p>
        </w:tc>
        <w:tc>
          <w:tcPr>
            <w:tcW w:w="4789" w:type="dxa"/>
            <w:tcBorders>
              <w:top w:val="single" w:sz="4" w:space="0" w:color="auto"/>
              <w:left w:val="single" w:sz="4" w:space="0" w:color="auto"/>
              <w:bottom w:val="single" w:sz="4" w:space="0" w:color="auto"/>
              <w:right w:val="single" w:sz="4" w:space="0" w:color="auto"/>
            </w:tcBorders>
            <w:vAlign w:val="bottom"/>
          </w:tcPr>
          <w:p w:rsidR="00A9288A" w:rsidRDefault="007A4434">
            <w:pPr>
              <w:jc w:val="right"/>
              <w:rPr>
                <w:rFonts w:cs="Times New Roman"/>
              </w:rPr>
            </w:pPr>
            <w:r>
              <w:rPr>
                <w:rFonts w:cs="Times New Roman"/>
              </w:rPr>
              <w:t xml:space="preserve"> -535,110.70 </w:t>
            </w:r>
          </w:p>
        </w:tc>
      </w:tr>
      <w:tr w:rsidR="00A9288A">
        <w:tc>
          <w:tcPr>
            <w:tcW w:w="4779" w:type="dxa"/>
            <w:tcBorders>
              <w:top w:val="single" w:sz="4" w:space="0" w:color="auto"/>
              <w:left w:val="single" w:sz="4" w:space="0" w:color="auto"/>
              <w:bottom w:val="single" w:sz="4" w:space="0" w:color="auto"/>
              <w:right w:val="single" w:sz="4" w:space="0" w:color="auto"/>
            </w:tcBorders>
            <w:shd w:val="clear" w:color="auto" w:fill="D3D3D3"/>
            <w:vAlign w:val="bottom"/>
          </w:tcPr>
          <w:p w:rsidR="00A9288A" w:rsidRDefault="007A4434">
            <w:pPr>
              <w:jc w:val="left"/>
              <w:rPr>
                <w:rFonts w:cs="Times New Roman"/>
              </w:rPr>
            </w:pPr>
            <w:r>
              <w:rPr>
                <w:rFonts w:cs="Times New Roman"/>
              </w:rPr>
              <w:t xml:space="preserve"> </w:t>
            </w:r>
            <w:r>
              <w:rPr>
                <w:rFonts w:hint="eastAsia"/>
              </w:rPr>
              <w:t>本期未确认递延所得税资产的可抵扣暂时性差异或可抵扣亏损的影响</w:t>
            </w:r>
            <w:r>
              <w:rPr>
                <w:rFonts w:cs="Times New Roman"/>
              </w:rPr>
              <w:t xml:space="preserve"> </w:t>
            </w:r>
          </w:p>
        </w:tc>
        <w:tc>
          <w:tcPr>
            <w:tcW w:w="4789" w:type="dxa"/>
            <w:tcBorders>
              <w:top w:val="single" w:sz="4" w:space="0" w:color="auto"/>
              <w:left w:val="single" w:sz="4" w:space="0" w:color="auto"/>
              <w:bottom w:val="single" w:sz="4" w:space="0" w:color="auto"/>
              <w:right w:val="single" w:sz="4" w:space="0" w:color="auto"/>
            </w:tcBorders>
            <w:vAlign w:val="bottom"/>
          </w:tcPr>
          <w:p w:rsidR="00A9288A" w:rsidRDefault="007A4434">
            <w:pPr>
              <w:jc w:val="right"/>
              <w:rPr>
                <w:rFonts w:cs="Times New Roman"/>
              </w:rPr>
            </w:pPr>
            <w:r>
              <w:rPr>
                <w:rFonts w:cs="Times New Roman"/>
              </w:rPr>
              <w:t xml:space="preserve"> 264,352.85 </w:t>
            </w:r>
          </w:p>
        </w:tc>
      </w:tr>
      <w:tr w:rsidR="00A9288A">
        <w:tc>
          <w:tcPr>
            <w:tcW w:w="477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所得税费用</w:t>
            </w:r>
          </w:p>
        </w:tc>
        <w:tc>
          <w:tcPr>
            <w:tcW w:w="478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11,738,702.67</w:t>
            </w:r>
          </w:p>
        </w:tc>
      </w:tr>
    </w:tbl>
    <w:p w:rsidR="00A9288A" w:rsidRDefault="007A4434">
      <w:pPr>
        <w:pStyle w:val="Section"/>
        <w:outlineLvl w:val="2"/>
        <w:rPr>
          <w:rFonts w:eastAsia="Times New Roman" w:cs="Times New Roman"/>
        </w:rPr>
      </w:pPr>
      <w:r>
        <w:rPr>
          <w:rFonts w:cs="Times New Roman"/>
        </w:rPr>
        <w:t>74</w:t>
      </w:r>
      <w:r>
        <w:rPr>
          <w:rFonts w:hint="eastAsia"/>
        </w:rPr>
        <w:t>、其他综合收益</w:t>
      </w:r>
    </w:p>
    <w:p w:rsidR="00A9288A" w:rsidRDefault="007A4434">
      <w:pPr>
        <w:jc w:val="left"/>
        <w:rPr>
          <w:rFonts w:eastAsia="Times New Roman" w:cs="Times New Roman"/>
        </w:rPr>
      </w:pPr>
      <w:r>
        <w:rPr>
          <w:rFonts w:hint="eastAsia"/>
        </w:rPr>
        <w:t>详见附注</w:t>
      </w:r>
      <w:r>
        <w:rPr>
          <w:rFonts w:cs="Times New Roman"/>
        </w:rPr>
        <w:t>57</w:t>
      </w:r>
      <w:r>
        <w:rPr>
          <w:rFonts w:hint="eastAsia"/>
        </w:rPr>
        <w:t>。</w:t>
      </w:r>
    </w:p>
    <w:p w:rsidR="00A9288A" w:rsidRDefault="007A4434">
      <w:pPr>
        <w:pStyle w:val="Section"/>
        <w:outlineLvl w:val="2"/>
        <w:rPr>
          <w:rFonts w:eastAsia="Times New Roman" w:cs="Times New Roman"/>
        </w:rPr>
      </w:pPr>
      <w:r>
        <w:rPr>
          <w:rFonts w:cs="Times New Roman"/>
        </w:rPr>
        <w:t>75</w:t>
      </w:r>
      <w:r>
        <w:rPr>
          <w:rFonts w:hint="eastAsia"/>
        </w:rPr>
        <w:t>、现金流量表项目</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）收到的其他与经营活动有关的现金</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7"/>
        <w:gridCol w:w="3193"/>
        <w:gridCol w:w="3189"/>
      </w:tblGrid>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上期发生额</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政府补助</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15,099,600.00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15,105,845.00</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存款利息收入</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9,254,864.34</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1,478,450.78</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保证金解除和收回</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6,675,982.93</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其他</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4,779,675.22</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522,301.41</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35,810,122.49</w:t>
            </w:r>
          </w:p>
        </w:tc>
        <w:tc>
          <w:tcPr>
            <w:tcW w:w="318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17,106,597.19</w:t>
            </w:r>
          </w:p>
        </w:tc>
      </w:tr>
    </w:tbl>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）支付的其他与经营活动有关的现金</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7"/>
        <w:gridCol w:w="3193"/>
        <w:gridCol w:w="3189"/>
      </w:tblGrid>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上期发生额</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调试、售后维护费</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4,521,381.18</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6,070,567.93</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差旅费</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4,031,132.80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4,852,966.98</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租赁费</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4,781,321.75</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5,000,832.83</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会议费</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222,569.37</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226,902.23</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研发费</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13,871,509.66</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12,547,586.78</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业务费</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2,167,309.84</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2,070,410.53</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宣传展览费</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1,473,286.01</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479,300.47</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中介服务费</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1,565,319.92</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11,008,132.12</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运输费</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3,674,860.21</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6,447,896.98</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办公费</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1,371,981.87</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2,357,016.31</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银行保证金</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1,090,458.40</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其他</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4,615,654.21</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24,888,659.30</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42,296,326.82</w:t>
            </w:r>
          </w:p>
        </w:tc>
        <w:tc>
          <w:tcPr>
            <w:tcW w:w="318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77,040,730.86</w:t>
            </w:r>
          </w:p>
        </w:tc>
      </w:tr>
    </w:tbl>
    <w:p w:rsidR="00A9288A" w:rsidRDefault="007A4434">
      <w:pPr>
        <w:pStyle w:val="Section"/>
        <w:outlineLvl w:val="3"/>
        <w:rPr>
          <w:rFonts w:eastAsia="Times New Roman" w:cs="Times New Roman"/>
        </w:rPr>
      </w:pPr>
      <w:r>
        <w:rPr>
          <w:rFonts w:hint="eastAsia"/>
        </w:rPr>
        <w:lastRenderedPageBreak/>
        <w:t>（</w:t>
      </w:r>
      <w:r>
        <w:rPr>
          <w:rFonts w:cs="Times New Roman"/>
        </w:rPr>
        <w:t>3</w:t>
      </w:r>
      <w:r>
        <w:rPr>
          <w:rFonts w:hint="eastAsia"/>
        </w:rPr>
        <w:t>）收到的其他与投资活动有关的现金</w:t>
      </w:r>
    </w:p>
    <w:p w:rsidR="00A9288A" w:rsidRDefault="007A4434">
      <w:pPr>
        <w:pStyle w:val="Section"/>
        <w:outlineLvl w:val="3"/>
        <w:rPr>
          <w:rFonts w:eastAsia="Times New Roman" w:cs="Times New Roman"/>
        </w:rPr>
      </w:pPr>
      <w:r>
        <w:rPr>
          <w:rFonts w:hint="eastAsia"/>
        </w:rPr>
        <w:t>（</w:t>
      </w:r>
      <w:r>
        <w:rPr>
          <w:rFonts w:cs="Times New Roman"/>
        </w:rPr>
        <w:t>4</w:t>
      </w:r>
      <w:r>
        <w:rPr>
          <w:rFonts w:hint="eastAsia"/>
        </w:rPr>
        <w:t>）支付的其他与投资活动有关的现金</w:t>
      </w:r>
    </w:p>
    <w:p w:rsidR="00A9288A" w:rsidRDefault="007A4434">
      <w:pPr>
        <w:pStyle w:val="Section"/>
        <w:outlineLvl w:val="3"/>
        <w:rPr>
          <w:rFonts w:eastAsia="Times New Roman" w:cs="Times New Roman"/>
        </w:rPr>
      </w:pPr>
      <w:r>
        <w:rPr>
          <w:rFonts w:hint="eastAsia"/>
        </w:rPr>
        <w:t>（</w:t>
      </w:r>
      <w:r>
        <w:rPr>
          <w:rFonts w:cs="Times New Roman"/>
        </w:rPr>
        <w:t>5</w:t>
      </w:r>
      <w:r>
        <w:rPr>
          <w:rFonts w:hint="eastAsia"/>
        </w:rPr>
        <w:t>）收到的其他与筹资活动有关的现金</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7"/>
        <w:gridCol w:w="3193"/>
        <w:gridCol w:w="3189"/>
      </w:tblGrid>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上期发生额</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海兰天澄从浙江海兰信借款</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20,000,000.00</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A9288A" w:rsidRDefault="00A9288A">
            <w:pPr>
              <w:jc w:val="right"/>
              <w:rPr>
                <w:rFonts w:eastAsia="Times New Roman" w:cs="Times New Roman"/>
              </w:rPr>
            </w:pPr>
          </w:p>
        </w:tc>
        <w:tc>
          <w:tcPr>
            <w:tcW w:w="318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20,000,000.00</w:t>
            </w:r>
          </w:p>
        </w:tc>
      </w:tr>
    </w:tbl>
    <w:p w:rsidR="00A9288A" w:rsidRDefault="007A4434">
      <w:pPr>
        <w:pStyle w:val="Section"/>
        <w:outlineLvl w:val="3"/>
        <w:rPr>
          <w:rFonts w:eastAsia="Times New Roman" w:cs="Times New Roman"/>
        </w:rPr>
      </w:pPr>
      <w:r>
        <w:rPr>
          <w:rFonts w:hint="eastAsia"/>
        </w:rPr>
        <w:t>（</w:t>
      </w:r>
      <w:r>
        <w:rPr>
          <w:rFonts w:cs="Times New Roman"/>
        </w:rPr>
        <w:t>6</w:t>
      </w:r>
      <w:r>
        <w:rPr>
          <w:rFonts w:hint="eastAsia"/>
        </w:rPr>
        <w:t>）支付的其他与筹资活动有关的现金</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7"/>
        <w:gridCol w:w="3193"/>
        <w:gridCol w:w="3189"/>
      </w:tblGrid>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上期发生额</w:t>
            </w: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回购股票</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71,990,167.15</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71,990,167.15</w:t>
            </w:r>
          </w:p>
        </w:tc>
        <w:tc>
          <w:tcPr>
            <w:tcW w:w="3189" w:type="dxa"/>
            <w:tcBorders>
              <w:top w:val="single" w:sz="4" w:space="0" w:color="auto"/>
              <w:left w:val="single" w:sz="4" w:space="0" w:color="auto"/>
              <w:bottom w:val="single" w:sz="4" w:space="0" w:color="auto"/>
              <w:right w:val="single" w:sz="4" w:space="0" w:color="auto"/>
            </w:tcBorders>
            <w:vAlign w:val="center"/>
          </w:tcPr>
          <w:p w:rsidR="00A9288A" w:rsidRDefault="00A9288A">
            <w:pPr>
              <w:jc w:val="right"/>
              <w:rPr>
                <w:rFonts w:cs="Times New Roman"/>
              </w:rPr>
            </w:pPr>
          </w:p>
        </w:tc>
      </w:tr>
    </w:tbl>
    <w:p w:rsidR="00A9288A" w:rsidRDefault="007A4434">
      <w:pPr>
        <w:pStyle w:val="Section"/>
        <w:outlineLvl w:val="2"/>
        <w:rPr>
          <w:rFonts w:eastAsia="Times New Roman" w:cs="Times New Roman"/>
        </w:rPr>
      </w:pPr>
      <w:r>
        <w:rPr>
          <w:rFonts w:cs="Times New Roman"/>
        </w:rPr>
        <w:t>76</w:t>
      </w:r>
      <w:r>
        <w:rPr>
          <w:rFonts w:hint="eastAsia"/>
        </w:rPr>
        <w:t>、现金流量表补充资料</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）现金流量表补充资料</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327"/>
        <w:gridCol w:w="3057"/>
        <w:gridCol w:w="3184"/>
      </w:tblGrid>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补充资料</w:t>
            </w:r>
          </w:p>
        </w:tc>
        <w:tc>
          <w:tcPr>
            <w:tcW w:w="305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本期金额</w:t>
            </w:r>
          </w:p>
        </w:tc>
        <w:tc>
          <w:tcPr>
            <w:tcW w:w="318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上期金额</w:t>
            </w:r>
          </w:p>
        </w:tc>
      </w:tr>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．将净利润调节为经营活动现金流量：</w:t>
            </w:r>
          </w:p>
        </w:tc>
        <w:tc>
          <w:tcPr>
            <w:tcW w:w="305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318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r>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净利润</w:t>
            </w:r>
          </w:p>
        </w:tc>
        <w:tc>
          <w:tcPr>
            <w:tcW w:w="3057"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71,124,183.05</w:t>
            </w:r>
          </w:p>
        </w:tc>
        <w:tc>
          <w:tcPr>
            <w:tcW w:w="318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65,962,423.90</w:t>
            </w:r>
          </w:p>
        </w:tc>
      </w:tr>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加：资产减值准备</w:t>
            </w:r>
          </w:p>
        </w:tc>
        <w:tc>
          <w:tcPr>
            <w:tcW w:w="305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-3,405,815.42</w:t>
            </w:r>
          </w:p>
        </w:tc>
        <w:tc>
          <w:tcPr>
            <w:tcW w:w="31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1,757,074.49</w:t>
            </w:r>
          </w:p>
        </w:tc>
      </w:tr>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固定资产折旧、油气资产折耗、生产性生物资产折旧</w:t>
            </w:r>
          </w:p>
        </w:tc>
        <w:tc>
          <w:tcPr>
            <w:tcW w:w="305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3,378,636.67</w:t>
            </w:r>
          </w:p>
        </w:tc>
        <w:tc>
          <w:tcPr>
            <w:tcW w:w="31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3,742,837.21</w:t>
            </w:r>
          </w:p>
        </w:tc>
      </w:tr>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无形资产摊销</w:t>
            </w:r>
          </w:p>
        </w:tc>
        <w:tc>
          <w:tcPr>
            <w:tcW w:w="305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8,533,677.51</w:t>
            </w:r>
          </w:p>
        </w:tc>
        <w:tc>
          <w:tcPr>
            <w:tcW w:w="31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5,098,631.56</w:t>
            </w:r>
          </w:p>
        </w:tc>
      </w:tr>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长期待摊费用摊销</w:t>
            </w:r>
          </w:p>
        </w:tc>
        <w:tc>
          <w:tcPr>
            <w:tcW w:w="305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214,864.29</w:t>
            </w:r>
          </w:p>
        </w:tc>
        <w:tc>
          <w:tcPr>
            <w:tcW w:w="31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968,030.05</w:t>
            </w:r>
          </w:p>
        </w:tc>
      </w:tr>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处置固定资产、无形资产和其他长期资产的损失（收益以</w:t>
            </w:r>
            <w:r>
              <w:rPr>
                <w:rFonts w:cs="Times New Roman"/>
              </w:rPr>
              <w:t>“</w:t>
            </w:r>
            <w:r>
              <w:rPr>
                <w:rFonts w:hint="eastAsia"/>
              </w:rPr>
              <w:t>－</w:t>
            </w:r>
            <w:r>
              <w:rPr>
                <w:rFonts w:cs="Times New Roman"/>
              </w:rPr>
              <w:t>”</w:t>
            </w:r>
            <w:r>
              <w:rPr>
                <w:rFonts w:hint="eastAsia"/>
              </w:rPr>
              <w:t>号填列）</w:t>
            </w:r>
          </w:p>
        </w:tc>
        <w:tc>
          <w:tcPr>
            <w:tcW w:w="305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1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218,550.92</w:t>
            </w:r>
          </w:p>
        </w:tc>
      </w:tr>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财务费用（收益以</w:t>
            </w:r>
            <w:r>
              <w:rPr>
                <w:rFonts w:cs="Times New Roman"/>
              </w:rPr>
              <w:t>“</w:t>
            </w:r>
            <w:r>
              <w:rPr>
                <w:rFonts w:hint="eastAsia"/>
              </w:rPr>
              <w:t>－</w:t>
            </w:r>
            <w:r>
              <w:rPr>
                <w:rFonts w:cs="Times New Roman"/>
              </w:rPr>
              <w:t>”</w:t>
            </w:r>
            <w:r>
              <w:rPr>
                <w:rFonts w:hint="eastAsia"/>
              </w:rPr>
              <w:t>号填列）</w:t>
            </w:r>
          </w:p>
        </w:tc>
        <w:tc>
          <w:tcPr>
            <w:tcW w:w="305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2,300,123.13</w:t>
            </w:r>
          </w:p>
        </w:tc>
        <w:tc>
          <w:tcPr>
            <w:tcW w:w="31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1,299,906.11</w:t>
            </w:r>
          </w:p>
        </w:tc>
      </w:tr>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投资损失（收益以</w:t>
            </w:r>
            <w:r>
              <w:rPr>
                <w:rFonts w:cs="Times New Roman"/>
              </w:rPr>
              <w:t>“</w:t>
            </w:r>
            <w:r>
              <w:rPr>
                <w:rFonts w:hint="eastAsia"/>
              </w:rPr>
              <w:t>－</w:t>
            </w:r>
            <w:r>
              <w:rPr>
                <w:rFonts w:cs="Times New Roman"/>
              </w:rPr>
              <w:t>”</w:t>
            </w:r>
            <w:r>
              <w:rPr>
                <w:rFonts w:hint="eastAsia"/>
              </w:rPr>
              <w:t>号填列）</w:t>
            </w:r>
          </w:p>
        </w:tc>
        <w:tc>
          <w:tcPr>
            <w:tcW w:w="305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-1,683,853.93</w:t>
            </w:r>
          </w:p>
        </w:tc>
        <w:tc>
          <w:tcPr>
            <w:tcW w:w="31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-1,912,545.54</w:t>
            </w:r>
          </w:p>
        </w:tc>
      </w:tr>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递延所得税资产减少（增加以</w:t>
            </w:r>
            <w:r>
              <w:rPr>
                <w:rFonts w:cs="Times New Roman"/>
              </w:rPr>
              <w:t>“</w:t>
            </w:r>
            <w:r>
              <w:rPr>
                <w:rFonts w:hint="eastAsia"/>
              </w:rPr>
              <w:t>－</w:t>
            </w:r>
            <w:r>
              <w:rPr>
                <w:rFonts w:cs="Times New Roman"/>
              </w:rPr>
              <w:t>”</w:t>
            </w:r>
            <w:r>
              <w:rPr>
                <w:rFonts w:hint="eastAsia"/>
              </w:rPr>
              <w:t>号填列）</w:t>
            </w:r>
          </w:p>
        </w:tc>
        <w:tc>
          <w:tcPr>
            <w:tcW w:w="305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-326,404.98</w:t>
            </w:r>
          </w:p>
        </w:tc>
        <w:tc>
          <w:tcPr>
            <w:tcW w:w="31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2,649,651.07</w:t>
            </w:r>
          </w:p>
        </w:tc>
      </w:tr>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递延所得税负债增加（减少以</w:t>
            </w:r>
            <w:r>
              <w:rPr>
                <w:rFonts w:cs="Times New Roman"/>
              </w:rPr>
              <w:t>“</w:t>
            </w:r>
            <w:r>
              <w:rPr>
                <w:rFonts w:hint="eastAsia"/>
              </w:rPr>
              <w:t>－</w:t>
            </w:r>
            <w:r>
              <w:rPr>
                <w:rFonts w:cs="Times New Roman"/>
              </w:rPr>
              <w:t>”</w:t>
            </w:r>
            <w:r>
              <w:rPr>
                <w:rFonts w:hint="eastAsia"/>
              </w:rPr>
              <w:t>号填列）</w:t>
            </w:r>
          </w:p>
        </w:tc>
        <w:tc>
          <w:tcPr>
            <w:tcW w:w="305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4,454,767.01</w:t>
            </w:r>
          </w:p>
        </w:tc>
        <w:tc>
          <w:tcPr>
            <w:tcW w:w="31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-635,875.77</w:t>
            </w:r>
          </w:p>
        </w:tc>
      </w:tr>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存货的减少（增加以</w:t>
            </w:r>
            <w:r>
              <w:rPr>
                <w:rFonts w:cs="Times New Roman"/>
              </w:rPr>
              <w:t>“</w:t>
            </w:r>
            <w:r>
              <w:rPr>
                <w:rFonts w:hint="eastAsia"/>
              </w:rPr>
              <w:t>－</w:t>
            </w:r>
            <w:r>
              <w:rPr>
                <w:rFonts w:cs="Times New Roman"/>
              </w:rPr>
              <w:t>”</w:t>
            </w:r>
            <w:r>
              <w:rPr>
                <w:rFonts w:hint="eastAsia"/>
              </w:rPr>
              <w:t>号填列）</w:t>
            </w:r>
          </w:p>
        </w:tc>
        <w:tc>
          <w:tcPr>
            <w:tcW w:w="305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-16,543,789.88</w:t>
            </w:r>
          </w:p>
        </w:tc>
        <w:tc>
          <w:tcPr>
            <w:tcW w:w="31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-41,351,953.69</w:t>
            </w:r>
          </w:p>
        </w:tc>
      </w:tr>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lastRenderedPageBreak/>
              <w:t>经营性应收项目的减少（增加以</w:t>
            </w:r>
            <w:r>
              <w:rPr>
                <w:rFonts w:cs="Times New Roman"/>
              </w:rPr>
              <w:t>“</w:t>
            </w:r>
            <w:r>
              <w:rPr>
                <w:rFonts w:hint="eastAsia"/>
              </w:rPr>
              <w:t>－</w:t>
            </w:r>
            <w:r>
              <w:rPr>
                <w:rFonts w:cs="Times New Roman"/>
              </w:rPr>
              <w:t>”</w:t>
            </w:r>
            <w:r>
              <w:rPr>
                <w:rFonts w:hint="eastAsia"/>
              </w:rPr>
              <w:t>号填列）</w:t>
            </w:r>
          </w:p>
        </w:tc>
        <w:tc>
          <w:tcPr>
            <w:tcW w:w="305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-39,848,627.36</w:t>
            </w:r>
          </w:p>
        </w:tc>
        <w:tc>
          <w:tcPr>
            <w:tcW w:w="31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-46,369,222.15</w:t>
            </w:r>
          </w:p>
        </w:tc>
      </w:tr>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经营性应付项目的增加（减少以</w:t>
            </w:r>
            <w:r>
              <w:rPr>
                <w:rFonts w:cs="Times New Roman"/>
              </w:rPr>
              <w:t>“</w:t>
            </w:r>
            <w:r>
              <w:rPr>
                <w:rFonts w:hint="eastAsia"/>
              </w:rPr>
              <w:t>－</w:t>
            </w:r>
            <w:r>
              <w:rPr>
                <w:rFonts w:cs="Times New Roman"/>
              </w:rPr>
              <w:t>”</w:t>
            </w:r>
            <w:r>
              <w:rPr>
                <w:rFonts w:hint="eastAsia"/>
              </w:rPr>
              <w:t>号填列）</w:t>
            </w:r>
          </w:p>
        </w:tc>
        <w:tc>
          <w:tcPr>
            <w:tcW w:w="305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28,247,352.62</w:t>
            </w:r>
          </w:p>
        </w:tc>
        <w:tc>
          <w:tcPr>
            <w:tcW w:w="31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-23,418,546.04</w:t>
            </w:r>
          </w:p>
        </w:tc>
      </w:tr>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经营活动产生的现金流量净额</w:t>
            </w:r>
          </w:p>
        </w:tc>
        <w:tc>
          <w:tcPr>
            <w:tcW w:w="3057"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56,445,112.71</w:t>
            </w:r>
          </w:p>
        </w:tc>
        <w:tc>
          <w:tcPr>
            <w:tcW w:w="318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-31,991,037.88</w:t>
            </w:r>
          </w:p>
        </w:tc>
      </w:tr>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2</w:t>
            </w:r>
            <w:r>
              <w:rPr>
                <w:rFonts w:hint="eastAsia"/>
              </w:rPr>
              <w:t>．不涉及现金收支的重大投资和筹资活动：</w:t>
            </w:r>
          </w:p>
        </w:tc>
        <w:tc>
          <w:tcPr>
            <w:tcW w:w="305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318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r>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3</w:t>
            </w:r>
            <w:r>
              <w:rPr>
                <w:rFonts w:hint="eastAsia"/>
              </w:rPr>
              <w:t>．现金及现金等价物净变动情况：</w:t>
            </w:r>
          </w:p>
        </w:tc>
        <w:tc>
          <w:tcPr>
            <w:tcW w:w="305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318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r>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现金的期末余额</w:t>
            </w:r>
          </w:p>
        </w:tc>
        <w:tc>
          <w:tcPr>
            <w:tcW w:w="305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645,180,979.37</w:t>
            </w:r>
          </w:p>
        </w:tc>
        <w:tc>
          <w:tcPr>
            <w:tcW w:w="31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541,641,698.13</w:t>
            </w:r>
          </w:p>
        </w:tc>
      </w:tr>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减：现金的期初余额</w:t>
            </w:r>
          </w:p>
        </w:tc>
        <w:tc>
          <w:tcPr>
            <w:tcW w:w="305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647,096,797.08</w:t>
            </w:r>
          </w:p>
        </w:tc>
        <w:tc>
          <w:tcPr>
            <w:tcW w:w="31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269,326,278.85</w:t>
            </w:r>
          </w:p>
        </w:tc>
      </w:tr>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现金及现金等价物净增加额</w:t>
            </w:r>
          </w:p>
        </w:tc>
        <w:tc>
          <w:tcPr>
            <w:tcW w:w="3057"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-1,915,817.71</w:t>
            </w:r>
          </w:p>
        </w:tc>
        <w:tc>
          <w:tcPr>
            <w:tcW w:w="318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272,315,419.28</w:t>
            </w:r>
          </w:p>
        </w:tc>
      </w:tr>
    </w:tbl>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）本期支付的取得子公司的现金净额</w:t>
      </w:r>
    </w:p>
    <w:p w:rsidR="00A9288A" w:rsidRDefault="007A4434">
      <w:pPr>
        <w:pStyle w:val="Section"/>
        <w:outlineLvl w:val="3"/>
        <w:rPr>
          <w:rFonts w:eastAsia="Times New Roman" w:cs="Times New Roman"/>
        </w:rPr>
      </w:pPr>
      <w:r>
        <w:rPr>
          <w:rFonts w:hint="eastAsia"/>
        </w:rPr>
        <w:t>（</w:t>
      </w:r>
      <w:r>
        <w:rPr>
          <w:rFonts w:cs="Times New Roman"/>
        </w:rPr>
        <w:t>3</w:t>
      </w:r>
      <w:r>
        <w:rPr>
          <w:rFonts w:hint="eastAsia"/>
        </w:rPr>
        <w:t>）本期收到的处置子公司的现金净额</w:t>
      </w:r>
    </w:p>
    <w:p w:rsidR="00A9288A" w:rsidRDefault="007A4434">
      <w:pPr>
        <w:pStyle w:val="Section"/>
        <w:outlineLvl w:val="3"/>
        <w:rPr>
          <w:rFonts w:eastAsia="Times New Roman" w:cs="Times New Roman"/>
        </w:rPr>
      </w:pPr>
      <w:r>
        <w:rPr>
          <w:rFonts w:hint="eastAsia"/>
        </w:rPr>
        <w:t>（</w:t>
      </w:r>
      <w:r>
        <w:rPr>
          <w:rFonts w:cs="Times New Roman"/>
        </w:rPr>
        <w:t>4</w:t>
      </w:r>
      <w:r>
        <w:rPr>
          <w:rFonts w:hint="eastAsia"/>
        </w:rPr>
        <w:t>）现金和现金等价物的构成</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327"/>
        <w:gridCol w:w="3057"/>
        <w:gridCol w:w="3184"/>
      </w:tblGrid>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05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318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r>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一、现金</w:t>
            </w:r>
          </w:p>
        </w:tc>
        <w:tc>
          <w:tcPr>
            <w:tcW w:w="3057"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645,180,979.37</w:t>
            </w:r>
          </w:p>
        </w:tc>
        <w:tc>
          <w:tcPr>
            <w:tcW w:w="318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647,096,797.08</w:t>
            </w:r>
          </w:p>
        </w:tc>
      </w:tr>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widowControl/>
              <w:spacing w:before="0" w:after="0"/>
              <w:jc w:val="left"/>
              <w:rPr>
                <w:rFonts w:eastAsia="Times New Roman" w:cs="Times New Roman"/>
                <w:color w:val="000000"/>
              </w:rPr>
            </w:pPr>
            <w:r>
              <w:rPr>
                <w:rFonts w:cs="Times New Roman"/>
                <w:color w:val="000000"/>
              </w:rPr>
              <w:t xml:space="preserve"> </w:t>
            </w:r>
            <w:r>
              <w:rPr>
                <w:rFonts w:hint="eastAsia"/>
                <w:color w:val="000000"/>
              </w:rPr>
              <w:t>其中：库存现金</w:t>
            </w:r>
            <w:r>
              <w:rPr>
                <w:rFonts w:cs="Times New Roman"/>
                <w:color w:val="000000"/>
              </w:rPr>
              <w:t xml:space="preserve"> </w:t>
            </w:r>
          </w:p>
        </w:tc>
        <w:tc>
          <w:tcPr>
            <w:tcW w:w="3057"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eastAsia="Times New Roman" w:cs="Times New Roman"/>
                <w:color w:val="000000"/>
              </w:rPr>
            </w:pPr>
            <w:r>
              <w:rPr>
                <w:rFonts w:cs="Times New Roman"/>
                <w:color w:val="000000"/>
              </w:rPr>
              <w:t xml:space="preserve"> 178,563.09 </w:t>
            </w:r>
          </w:p>
        </w:tc>
        <w:tc>
          <w:tcPr>
            <w:tcW w:w="318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color w:val="000000"/>
              </w:rPr>
            </w:pPr>
            <w:r>
              <w:rPr>
                <w:rFonts w:cs="Times New Roman"/>
                <w:color w:val="000000"/>
              </w:rPr>
              <w:t xml:space="preserve"> 241,617.57 </w:t>
            </w:r>
          </w:p>
        </w:tc>
      </w:tr>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color w:val="000000"/>
              </w:rPr>
            </w:pPr>
            <w:r>
              <w:rPr>
                <w:rFonts w:cs="Times New Roman"/>
                <w:color w:val="000000"/>
              </w:rPr>
              <w:t xml:space="preserve"> </w:t>
            </w:r>
            <w:r>
              <w:rPr>
                <w:rFonts w:hint="eastAsia"/>
                <w:color w:val="000000"/>
              </w:rPr>
              <w:t xml:space="preserve">　　　可随时用于支付的银行存款</w:t>
            </w:r>
            <w:r>
              <w:rPr>
                <w:rFonts w:cs="Times New Roman"/>
                <w:color w:val="000000"/>
              </w:rPr>
              <w:t xml:space="preserve"> </w:t>
            </w:r>
          </w:p>
        </w:tc>
        <w:tc>
          <w:tcPr>
            <w:tcW w:w="3057"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eastAsia="Times New Roman" w:cs="Times New Roman"/>
                <w:color w:val="000000"/>
              </w:rPr>
            </w:pPr>
            <w:r>
              <w:rPr>
                <w:rFonts w:cs="Times New Roman"/>
                <w:color w:val="000000"/>
              </w:rPr>
              <w:t xml:space="preserve"> 645,002,416.28 </w:t>
            </w:r>
          </w:p>
        </w:tc>
        <w:tc>
          <w:tcPr>
            <w:tcW w:w="318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color w:val="000000"/>
              </w:rPr>
            </w:pPr>
            <w:r>
              <w:rPr>
                <w:rFonts w:cs="Times New Roman"/>
                <w:color w:val="000000"/>
              </w:rPr>
              <w:t xml:space="preserve"> 646,855,179.51 </w:t>
            </w:r>
          </w:p>
        </w:tc>
      </w:tr>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三、期末现金及现金等价物余额</w:t>
            </w:r>
          </w:p>
        </w:tc>
        <w:tc>
          <w:tcPr>
            <w:tcW w:w="3057"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645,180,979.37</w:t>
            </w:r>
          </w:p>
        </w:tc>
        <w:tc>
          <w:tcPr>
            <w:tcW w:w="318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647,096,797.08</w:t>
            </w:r>
          </w:p>
        </w:tc>
      </w:tr>
    </w:tbl>
    <w:p w:rsidR="00A9288A" w:rsidRDefault="007A4434">
      <w:pPr>
        <w:pStyle w:val="Section"/>
        <w:outlineLvl w:val="2"/>
        <w:rPr>
          <w:rFonts w:eastAsia="Times New Roman" w:cs="Times New Roman"/>
        </w:rPr>
      </w:pPr>
      <w:r>
        <w:rPr>
          <w:rFonts w:cs="Times New Roman"/>
        </w:rPr>
        <w:t>77</w:t>
      </w:r>
      <w:r>
        <w:rPr>
          <w:rFonts w:hint="eastAsia"/>
        </w:rPr>
        <w:t>、所有者权益变动表项目注释</w:t>
      </w:r>
    </w:p>
    <w:p w:rsidR="00A9288A" w:rsidRDefault="007A4434">
      <w:pPr>
        <w:pStyle w:val="Section"/>
        <w:outlineLvl w:val="2"/>
        <w:rPr>
          <w:rFonts w:eastAsia="Times New Roman" w:cs="Times New Roman"/>
        </w:rPr>
      </w:pPr>
      <w:r>
        <w:rPr>
          <w:rFonts w:cs="Times New Roman"/>
        </w:rPr>
        <w:t>78</w:t>
      </w:r>
      <w:r>
        <w:rPr>
          <w:rFonts w:hint="eastAsia"/>
        </w:rPr>
        <w:t>、所有权或使用权受到限制的资产</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327"/>
        <w:gridCol w:w="3057"/>
        <w:gridCol w:w="3184"/>
      </w:tblGrid>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05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期末账面价值</w:t>
            </w:r>
          </w:p>
        </w:tc>
        <w:tc>
          <w:tcPr>
            <w:tcW w:w="318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受限原因</w:t>
            </w:r>
          </w:p>
        </w:tc>
      </w:tr>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货币资金</w:t>
            </w:r>
          </w:p>
        </w:tc>
        <w:tc>
          <w:tcPr>
            <w:tcW w:w="305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171,052,538.04</w:t>
            </w:r>
          </w:p>
        </w:tc>
        <w:tc>
          <w:tcPr>
            <w:tcW w:w="31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保函保证金及信用证保证金</w:t>
            </w:r>
          </w:p>
        </w:tc>
      </w:tr>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固定资产</w:t>
            </w:r>
          </w:p>
        </w:tc>
        <w:tc>
          <w:tcPr>
            <w:tcW w:w="305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29,568,166.60</w:t>
            </w:r>
          </w:p>
        </w:tc>
        <w:tc>
          <w:tcPr>
            <w:tcW w:w="31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hint="eastAsia"/>
              </w:rPr>
              <w:t>详见附注</w:t>
            </w:r>
            <w:r>
              <w:rPr>
                <w:rFonts w:cs="Times New Roman"/>
              </w:rPr>
              <w:t>"</w:t>
            </w:r>
            <w:r>
              <w:rPr>
                <w:rFonts w:hint="eastAsia"/>
              </w:rPr>
              <w:t>八、</w:t>
            </w:r>
            <w:r>
              <w:rPr>
                <w:rFonts w:cs="Times New Roman"/>
              </w:rPr>
              <w:t>28.</w:t>
            </w:r>
            <w:r>
              <w:rPr>
                <w:rFonts w:hint="eastAsia"/>
              </w:rPr>
              <w:t>长期借款</w:t>
            </w:r>
            <w:r>
              <w:rPr>
                <w:rFonts w:cs="Times New Roman"/>
              </w:rPr>
              <w:t>"</w:t>
            </w:r>
          </w:p>
        </w:tc>
      </w:tr>
      <w:tr w:rsidR="00A9288A">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05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200,620,704.64</w:t>
            </w:r>
          </w:p>
        </w:tc>
        <w:tc>
          <w:tcPr>
            <w:tcW w:w="318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r>
    </w:tbl>
    <w:p w:rsidR="00A9288A" w:rsidRDefault="007A4434">
      <w:pPr>
        <w:pStyle w:val="Section"/>
        <w:outlineLvl w:val="2"/>
        <w:rPr>
          <w:rFonts w:eastAsia="Times New Roman" w:cs="Times New Roman"/>
        </w:rPr>
      </w:pPr>
      <w:r>
        <w:rPr>
          <w:rFonts w:cs="Times New Roman"/>
        </w:rPr>
        <w:lastRenderedPageBreak/>
        <w:t>79</w:t>
      </w:r>
      <w:r>
        <w:rPr>
          <w:rFonts w:hint="eastAsia"/>
        </w:rPr>
        <w:t>、外币货币性项目</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）外币货币性项目</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2495"/>
        <w:gridCol w:w="2293"/>
        <w:gridCol w:w="2390"/>
        <w:gridCol w:w="2390"/>
      </w:tblGrid>
      <w:tr w:rsidR="00A9288A">
        <w:tc>
          <w:tcPr>
            <w:tcW w:w="249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22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期末外币余额</w:t>
            </w:r>
          </w:p>
        </w:tc>
        <w:tc>
          <w:tcPr>
            <w:tcW w:w="23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折算汇率</w:t>
            </w:r>
          </w:p>
        </w:tc>
        <w:tc>
          <w:tcPr>
            <w:tcW w:w="23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期末折算人民币余额</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货币资金</w:t>
            </w:r>
          </w:p>
        </w:tc>
        <w:tc>
          <w:tcPr>
            <w:tcW w:w="22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23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158,086,946.44</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其中：美元</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20,478,849.05</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6.6166</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135,500,352.62</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欧元</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2,246,907.77</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7.6515</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17,192,214.79</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港币</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5,109,022.89</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0.8431</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4,307,417.20</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 xml:space="preserve">          </w:t>
            </w:r>
            <w:r>
              <w:rPr>
                <w:rFonts w:hint="eastAsia"/>
              </w:rPr>
              <w:t>日元</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2,598,089.03</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0.0599</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155,625.53</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 xml:space="preserve">          </w:t>
            </w:r>
            <w:r>
              <w:rPr>
                <w:rFonts w:hint="eastAsia"/>
              </w:rPr>
              <w:t>英镑</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96,320.44</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8.6551</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833,663.08</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 xml:space="preserve">          </w:t>
            </w:r>
            <w:r>
              <w:rPr>
                <w:rFonts w:hint="eastAsia"/>
              </w:rPr>
              <w:t>澳元</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2,906.65</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4.8633</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14,135.93</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 xml:space="preserve">          </w:t>
            </w:r>
            <w:r>
              <w:rPr>
                <w:rFonts w:hint="eastAsia"/>
              </w:rPr>
              <w:t>加元</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16,725.19</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4.9947</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83,537.29</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应收账款</w:t>
            </w:r>
          </w:p>
        </w:tc>
        <w:tc>
          <w:tcPr>
            <w:tcW w:w="22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23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101,632,236.99</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其中：美元</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14,073,529.38</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6.6166</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93,118,914.52</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欧元</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868,580.30</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7.6515</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6,645,942.14</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 xml:space="preserve">          </w:t>
            </w:r>
            <w:r>
              <w:rPr>
                <w:rFonts w:hint="eastAsia"/>
              </w:rPr>
              <w:t>英镑</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208,189.90</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8.6551</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1,801,904.43</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 xml:space="preserve">          </w:t>
            </w:r>
            <w:r>
              <w:rPr>
                <w:rFonts w:hint="eastAsia"/>
              </w:rPr>
              <w:t>加元</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13,109.08</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4.9947</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65,475.90</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其他应收款</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28,956,244.86</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其中：美元</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2,892,992.33</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6.6166</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19,141,773.04</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 xml:space="preserve">          </w:t>
            </w:r>
            <w:r>
              <w:rPr>
                <w:rFonts w:hint="eastAsia"/>
              </w:rPr>
              <w:t>欧元</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925,796.34</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7.6515</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7,083,730.69</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 xml:space="preserve">          </w:t>
            </w:r>
            <w:r>
              <w:rPr>
                <w:rFonts w:hint="eastAsia"/>
              </w:rPr>
              <w:t>英镑</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308,092.86</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8.6551</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2,666,574.49</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 xml:space="preserve">          </w:t>
            </w:r>
            <w:r>
              <w:rPr>
                <w:rFonts w:hint="eastAsia"/>
              </w:rPr>
              <w:t>港币</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76,108.00</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0.8431</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64,166.65</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应付账款</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86,704,464.26</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其中：美元</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11,460,735.53</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6.6166</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75,831,102.70</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 xml:space="preserve">          </w:t>
            </w:r>
            <w:r>
              <w:rPr>
                <w:rFonts w:hint="eastAsia"/>
              </w:rPr>
              <w:t>欧元</w:t>
            </w:r>
            <w:r>
              <w:rPr>
                <w:rFonts w:cs="Times New Roman"/>
              </w:rPr>
              <w:t xml:space="preserve">          </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1,213,469.64</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7.6515</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9,284,862.92</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 xml:space="preserve">          </w:t>
            </w:r>
            <w:r>
              <w:rPr>
                <w:rFonts w:hint="eastAsia"/>
              </w:rPr>
              <w:t>港币</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10,294.66</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0.8431</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8,679.43</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 xml:space="preserve">          </w:t>
            </w:r>
            <w:r>
              <w:rPr>
                <w:rFonts w:hint="eastAsia"/>
              </w:rPr>
              <w:t>英镑</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8,615.89</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8.6551</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74,571.39</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 xml:space="preserve">          </w:t>
            </w:r>
            <w:r>
              <w:rPr>
                <w:rFonts w:hint="eastAsia"/>
              </w:rPr>
              <w:t>挪威克朗</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184,262.50</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0.8082</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148,923.06</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 xml:space="preserve">          </w:t>
            </w:r>
            <w:r>
              <w:rPr>
                <w:rFonts w:hint="eastAsia"/>
              </w:rPr>
              <w:t>新加坡元</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20,220.00</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4.8386</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97,836.49</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 xml:space="preserve">          </w:t>
            </w:r>
            <w:r>
              <w:rPr>
                <w:rFonts w:hint="eastAsia"/>
              </w:rPr>
              <w:t>日元</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19,480,227.51</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0.0599</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1,166,865.63</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 xml:space="preserve">          </w:t>
            </w:r>
            <w:r>
              <w:rPr>
                <w:rFonts w:hint="eastAsia"/>
              </w:rPr>
              <w:t>加元</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18,343.97</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4.9947</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91,622.64</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其他应付款</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20,333,185.06</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其中：美元</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2,461,783.08</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6.6166</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16,288,633.94</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lastRenderedPageBreak/>
              <w:t xml:space="preserve">          </w:t>
            </w:r>
            <w:r>
              <w:rPr>
                <w:rFonts w:hint="eastAsia"/>
              </w:rPr>
              <w:t>欧元</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368,167.25</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7.6515</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2,817,031.68</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 xml:space="preserve">          </w:t>
            </w:r>
            <w:r>
              <w:rPr>
                <w:rFonts w:hint="eastAsia"/>
              </w:rPr>
              <w:t>港币</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1,455,959.49</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0.8431</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1,227,519.45</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短期借款</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143,327,000.00</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其中：港币</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170,000,000.00</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0.8431</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143,327,000.00</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其中：美元</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1,147,725.00</w:t>
            </w:r>
          </w:p>
        </w:tc>
      </w:tr>
      <w:tr w:rsidR="00A9288A">
        <w:tc>
          <w:tcPr>
            <w:tcW w:w="249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欧元</w:t>
            </w:r>
          </w:p>
        </w:tc>
        <w:tc>
          <w:tcPr>
            <w:tcW w:w="22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150,000.00</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7.6515</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1,147,725.00</w:t>
            </w:r>
          </w:p>
        </w:tc>
      </w:tr>
    </w:tbl>
    <w:p w:rsidR="00A9288A" w:rsidRDefault="007A4434">
      <w:pPr>
        <w:jc w:val="left"/>
        <w:rPr>
          <w:rFonts w:eastAsia="Times New Roman" w:cs="Times New Roman"/>
        </w:rPr>
      </w:pPr>
      <w:r>
        <w:rPr>
          <w:rFonts w:hint="eastAsia"/>
        </w:rPr>
        <w:t>其他说明：</w:t>
      </w: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）境外经营实体说明，包括对于重要的境外经营实体，应披露其境外主要经营地、记账本位币及选择依据，记账本位币发生变化的还应披露原因。</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A3705B">
      <w:pPr>
        <w:autoSpaceDE w:val="0"/>
        <w:autoSpaceDN w:val="0"/>
        <w:adjustRightInd w:val="0"/>
        <w:spacing w:before="0" w:after="0"/>
        <w:jc w:val="left"/>
        <w:rPr>
          <w:rFonts w:eastAsia="Times New Roman" w:cs="Times New Roman"/>
          <w:kern w:val="0"/>
          <w:lang w:val="zh-CN"/>
        </w:rPr>
      </w:pPr>
      <w:r>
        <w:rPr>
          <w:rFonts w:eastAsia="Times New Roman" w:cs="Times New Roman"/>
          <w:kern w:val="0"/>
          <w:lang w:val="zh-CN"/>
        </w:rPr>
        <w:pict>
          <v:shape id="图片 5" o:spid="_x0000_i1026" type="#_x0000_t75" style="width:521.4pt;height:170.4pt;mso-wrap-style:square;mso-position-horizontal-relative:page;mso-position-vertical-relative:page">
            <v:imagedata r:id="rId12" o:title=""/>
          </v:shape>
        </w:pict>
      </w:r>
    </w:p>
    <w:p w:rsidR="00A9288A" w:rsidRDefault="007A4434">
      <w:pPr>
        <w:pStyle w:val="Section"/>
        <w:outlineLvl w:val="2"/>
        <w:rPr>
          <w:rFonts w:eastAsia="Times New Roman" w:cs="Times New Roman"/>
        </w:rPr>
      </w:pPr>
      <w:r>
        <w:rPr>
          <w:rFonts w:cs="Times New Roman"/>
        </w:rPr>
        <w:t>80</w:t>
      </w:r>
      <w:r>
        <w:rPr>
          <w:rFonts w:hint="eastAsia"/>
        </w:rPr>
        <w:t>、套期</w:t>
      </w:r>
    </w:p>
    <w:p w:rsidR="00A9288A" w:rsidRDefault="007A4434">
      <w:pPr>
        <w:jc w:val="left"/>
        <w:rPr>
          <w:rFonts w:eastAsia="Times New Roman" w:cs="Times New Roman"/>
        </w:rPr>
      </w:pPr>
      <w:r>
        <w:rPr>
          <w:rFonts w:hint="eastAsia"/>
        </w:rPr>
        <w:t>按照套期类别披露套期项目及相关套期工具、被套期风险的定性和定量信息：</w:t>
      </w:r>
    </w:p>
    <w:p w:rsidR="00A9288A" w:rsidRDefault="007A4434">
      <w:pPr>
        <w:pStyle w:val="Section"/>
        <w:outlineLvl w:val="2"/>
        <w:rPr>
          <w:rFonts w:eastAsia="Times New Roman" w:cs="Times New Roman"/>
        </w:rPr>
      </w:pPr>
      <w:r>
        <w:rPr>
          <w:rFonts w:cs="Times New Roman"/>
        </w:rPr>
        <w:t>81</w:t>
      </w:r>
      <w:r>
        <w:rPr>
          <w:rFonts w:hint="eastAsia"/>
        </w:rPr>
        <w:t>、其他</w:t>
      </w:r>
    </w:p>
    <w:p w:rsidR="00A9288A" w:rsidRDefault="007A4434">
      <w:pPr>
        <w:pStyle w:val="Chapter"/>
        <w:outlineLvl w:val="1"/>
        <w:rPr>
          <w:rFonts w:eastAsia="Times New Roman" w:cs="Times New Roman"/>
        </w:rPr>
      </w:pPr>
      <w:r>
        <w:rPr>
          <w:rFonts w:hint="eastAsia"/>
        </w:rPr>
        <w:t>八、合并范围的变更</w:t>
      </w:r>
    </w:p>
    <w:p w:rsidR="00A9288A" w:rsidRDefault="007A4434">
      <w:pPr>
        <w:pStyle w:val="Section"/>
        <w:outlineLvl w:val="2"/>
        <w:rPr>
          <w:rFonts w:eastAsia="Times New Roman" w:cs="Times New Roman"/>
        </w:rPr>
      </w:pPr>
      <w:r>
        <w:rPr>
          <w:rFonts w:cs="Times New Roman"/>
        </w:rPr>
        <w:t>1</w:t>
      </w:r>
      <w:r>
        <w:rPr>
          <w:rFonts w:hint="eastAsia"/>
        </w:rPr>
        <w:t>、非同一控制下企业合并</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）本期发生的非同一控制下企业合并</w:t>
      </w: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）合并成本及商誉</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p w:rsidR="00A9288A" w:rsidRDefault="007A4434">
      <w:pPr>
        <w:pStyle w:val="Section"/>
        <w:outlineLvl w:val="3"/>
        <w:rPr>
          <w:rFonts w:eastAsia="Times New Roman" w:cs="Times New Roman"/>
        </w:rPr>
      </w:pPr>
      <w:r>
        <w:rPr>
          <w:rFonts w:hint="eastAsia"/>
        </w:rPr>
        <w:lastRenderedPageBreak/>
        <w:t>（</w:t>
      </w:r>
      <w:r>
        <w:rPr>
          <w:rFonts w:cs="Times New Roman"/>
        </w:rPr>
        <w:t>3</w:t>
      </w:r>
      <w:r>
        <w:rPr>
          <w:rFonts w:hint="eastAsia"/>
        </w:rPr>
        <w:t>）被购买方于购买日可辨认资产、负债</w:t>
      </w:r>
    </w:p>
    <w:p w:rsidR="00A9288A" w:rsidRDefault="007A4434">
      <w:pPr>
        <w:pStyle w:val="Section"/>
        <w:outlineLvl w:val="3"/>
        <w:rPr>
          <w:rFonts w:eastAsia="Times New Roman" w:cs="Times New Roman"/>
        </w:rPr>
      </w:pPr>
      <w:r>
        <w:rPr>
          <w:rFonts w:hint="eastAsia"/>
        </w:rPr>
        <w:t>（</w:t>
      </w:r>
      <w:r>
        <w:rPr>
          <w:rFonts w:cs="Times New Roman"/>
        </w:rPr>
        <w:t>4</w:t>
      </w:r>
      <w:r>
        <w:rPr>
          <w:rFonts w:hint="eastAsia"/>
        </w:rPr>
        <w:t>）购买日之前持有的股权按照公允价值重新计量产生的利得或损失</w:t>
      </w:r>
    </w:p>
    <w:p w:rsidR="00A9288A" w:rsidRDefault="007A4434">
      <w:pPr>
        <w:jc w:val="left"/>
        <w:rPr>
          <w:rFonts w:eastAsia="Times New Roman" w:cs="Times New Roman"/>
        </w:rPr>
      </w:pPr>
      <w:r>
        <w:rPr>
          <w:rFonts w:hint="eastAsia"/>
        </w:rPr>
        <w:t>是否存在通过多次交易分步实现企业合并且在报告期内取得控制权的交易</w:t>
      </w:r>
    </w:p>
    <w:p w:rsidR="00A9288A" w:rsidRDefault="007A4434">
      <w:pPr>
        <w:jc w:val="left"/>
        <w:rPr>
          <w:rFonts w:cs="Times New Roman"/>
        </w:rPr>
      </w:pPr>
      <w:r>
        <w:rPr>
          <w:rFonts w:cs="Times New Roman"/>
        </w:rPr>
        <w:t xml:space="preserve">□ </w:t>
      </w:r>
      <w:r>
        <w:rPr>
          <w:rFonts w:hint="eastAsia"/>
        </w:rPr>
        <w:t>是</w:t>
      </w:r>
      <w:r>
        <w:rPr>
          <w:rFonts w:cs="Times New Roman"/>
        </w:rPr>
        <w:t xml:space="preserve"> √ </w:t>
      </w:r>
      <w:r>
        <w:rPr>
          <w:rFonts w:hint="eastAsia"/>
        </w:rPr>
        <w:t>否</w:t>
      </w:r>
      <w:r>
        <w:rPr>
          <w:rFonts w:cs="Times New Roman"/>
        </w:rPr>
        <w:t xml:space="preserve"> </w:t>
      </w:r>
    </w:p>
    <w:p w:rsidR="00A9288A" w:rsidRDefault="007A4434">
      <w:pPr>
        <w:pStyle w:val="Section"/>
        <w:outlineLvl w:val="3"/>
        <w:rPr>
          <w:rFonts w:eastAsia="Times New Roman" w:cs="Times New Roman"/>
        </w:rPr>
      </w:pPr>
      <w:r>
        <w:rPr>
          <w:rFonts w:hint="eastAsia"/>
        </w:rPr>
        <w:t>（</w:t>
      </w:r>
      <w:r>
        <w:rPr>
          <w:rFonts w:cs="Times New Roman"/>
        </w:rPr>
        <w:t>5</w:t>
      </w:r>
      <w:r>
        <w:rPr>
          <w:rFonts w:hint="eastAsia"/>
        </w:rPr>
        <w:t>）购买日或合并当期期末无法合理确定合并对价或被购买方可辨认资产、负债公允价值的相关说明</w:t>
      </w:r>
    </w:p>
    <w:p w:rsidR="00A9288A" w:rsidRDefault="007A4434">
      <w:pPr>
        <w:pStyle w:val="Section"/>
        <w:outlineLvl w:val="3"/>
        <w:rPr>
          <w:rFonts w:eastAsia="Times New Roman" w:cs="Times New Roman"/>
        </w:rPr>
      </w:pPr>
      <w:r>
        <w:rPr>
          <w:rFonts w:hint="eastAsia"/>
        </w:rPr>
        <w:t>（</w:t>
      </w:r>
      <w:r>
        <w:rPr>
          <w:rFonts w:cs="Times New Roman"/>
        </w:rPr>
        <w:t>6</w:t>
      </w:r>
      <w:r>
        <w:rPr>
          <w:rFonts w:hint="eastAsia"/>
        </w:rPr>
        <w:t>）其他说明</w:t>
      </w:r>
    </w:p>
    <w:p w:rsidR="00A9288A" w:rsidRDefault="007A4434">
      <w:pPr>
        <w:pStyle w:val="Section"/>
        <w:outlineLvl w:val="2"/>
        <w:rPr>
          <w:rFonts w:eastAsia="Times New Roman" w:cs="Times New Roman"/>
        </w:rPr>
      </w:pPr>
      <w:r>
        <w:rPr>
          <w:rFonts w:cs="Times New Roman"/>
        </w:rPr>
        <w:t>2</w:t>
      </w:r>
      <w:r>
        <w:rPr>
          <w:rFonts w:hint="eastAsia"/>
        </w:rPr>
        <w:t>、同一控制下企业合并</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）本期发生的同一控制下企业合并</w:t>
      </w: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）合并成本</w:t>
      </w:r>
    </w:p>
    <w:p w:rsidR="00A9288A" w:rsidRDefault="007A4434">
      <w:pPr>
        <w:pStyle w:val="Section"/>
        <w:outlineLvl w:val="3"/>
        <w:rPr>
          <w:rFonts w:eastAsia="Times New Roman" w:cs="Times New Roman"/>
        </w:rPr>
      </w:pPr>
      <w:r>
        <w:rPr>
          <w:rFonts w:hint="eastAsia"/>
        </w:rPr>
        <w:t>（</w:t>
      </w:r>
      <w:r>
        <w:rPr>
          <w:rFonts w:cs="Times New Roman"/>
        </w:rPr>
        <w:t>3</w:t>
      </w:r>
      <w:r>
        <w:rPr>
          <w:rFonts w:hint="eastAsia"/>
        </w:rPr>
        <w:t>）合并日被合并方资产、负债的账面价值</w:t>
      </w:r>
    </w:p>
    <w:p w:rsidR="00A9288A" w:rsidRDefault="007A4434">
      <w:pPr>
        <w:pStyle w:val="Section"/>
        <w:outlineLvl w:val="2"/>
        <w:rPr>
          <w:rFonts w:eastAsia="Times New Roman" w:cs="Times New Roman"/>
        </w:rPr>
      </w:pPr>
      <w:r>
        <w:rPr>
          <w:rFonts w:cs="Times New Roman"/>
        </w:rPr>
        <w:t>3</w:t>
      </w:r>
      <w:r>
        <w:rPr>
          <w:rFonts w:hint="eastAsia"/>
        </w:rPr>
        <w:t>、反向购买</w:t>
      </w:r>
    </w:p>
    <w:p w:rsidR="00A9288A" w:rsidRDefault="007A4434">
      <w:pPr>
        <w:jc w:val="left"/>
        <w:rPr>
          <w:rFonts w:eastAsia="Times New Roman" w:cs="Times New Roman"/>
        </w:rPr>
      </w:pPr>
      <w:r>
        <w:rPr>
          <w:rFonts w:hint="eastAsia"/>
        </w:rPr>
        <w:t>交易基本信息、交易构成反向购买的依据、上市公司保留的资产、负债是否构成业务及其依据、合并成本的确定、按照权益性交易处理时调整权益的金额及其计算：</w:t>
      </w:r>
    </w:p>
    <w:p w:rsidR="00A9288A" w:rsidRDefault="007A4434">
      <w:pPr>
        <w:pStyle w:val="Section"/>
        <w:outlineLvl w:val="2"/>
        <w:rPr>
          <w:rFonts w:eastAsia="Times New Roman" w:cs="Times New Roman"/>
        </w:rPr>
      </w:pPr>
      <w:r>
        <w:rPr>
          <w:rFonts w:cs="Times New Roman"/>
        </w:rPr>
        <w:t>4</w:t>
      </w:r>
      <w:r>
        <w:rPr>
          <w:rFonts w:hint="eastAsia"/>
        </w:rPr>
        <w:t>、处置子公司</w:t>
      </w:r>
    </w:p>
    <w:p w:rsidR="00A9288A" w:rsidRDefault="007A4434">
      <w:pPr>
        <w:jc w:val="left"/>
        <w:rPr>
          <w:rFonts w:eastAsia="Times New Roman" w:cs="Times New Roman"/>
        </w:rPr>
      </w:pPr>
      <w:r>
        <w:rPr>
          <w:rFonts w:hint="eastAsia"/>
        </w:rPr>
        <w:t>是否存在单次处置对子公司投资即丧失控制权的情形</w:t>
      </w:r>
    </w:p>
    <w:p w:rsidR="00A9288A" w:rsidRDefault="007A4434">
      <w:pPr>
        <w:jc w:val="left"/>
        <w:rPr>
          <w:rFonts w:cs="Times New Roman"/>
        </w:rPr>
      </w:pPr>
      <w:r>
        <w:rPr>
          <w:rFonts w:cs="Times New Roman"/>
        </w:rPr>
        <w:t xml:space="preserve">□ </w:t>
      </w:r>
      <w:r>
        <w:rPr>
          <w:rFonts w:hint="eastAsia"/>
        </w:rPr>
        <w:t>是</w:t>
      </w:r>
      <w:r>
        <w:rPr>
          <w:rFonts w:cs="Times New Roman"/>
        </w:rPr>
        <w:t xml:space="preserve"> √ </w:t>
      </w:r>
      <w:r>
        <w:rPr>
          <w:rFonts w:hint="eastAsia"/>
        </w:rPr>
        <w:t>否</w:t>
      </w:r>
      <w:r>
        <w:rPr>
          <w:rFonts w:cs="Times New Roman"/>
        </w:rPr>
        <w:t xml:space="preserve"> </w:t>
      </w:r>
    </w:p>
    <w:p w:rsidR="00A9288A" w:rsidRDefault="007A4434">
      <w:pPr>
        <w:jc w:val="left"/>
        <w:rPr>
          <w:rFonts w:eastAsia="Times New Roman" w:cs="Times New Roman"/>
        </w:rPr>
      </w:pPr>
      <w:r>
        <w:rPr>
          <w:rFonts w:hint="eastAsia"/>
        </w:rPr>
        <w:t>是否存在通过多次交易分步处置对子公司投资且在本期丧失控制权的情形</w:t>
      </w:r>
    </w:p>
    <w:p w:rsidR="00A9288A" w:rsidRDefault="007A4434">
      <w:pPr>
        <w:jc w:val="left"/>
        <w:rPr>
          <w:rFonts w:cs="Times New Roman"/>
        </w:rPr>
      </w:pPr>
      <w:r>
        <w:rPr>
          <w:rFonts w:cs="Times New Roman"/>
        </w:rPr>
        <w:t xml:space="preserve">□ </w:t>
      </w:r>
      <w:r>
        <w:rPr>
          <w:rFonts w:hint="eastAsia"/>
        </w:rPr>
        <w:t>是</w:t>
      </w:r>
      <w:r>
        <w:rPr>
          <w:rFonts w:cs="Times New Roman"/>
        </w:rPr>
        <w:t xml:space="preserve"> √ </w:t>
      </w:r>
      <w:r>
        <w:rPr>
          <w:rFonts w:hint="eastAsia"/>
        </w:rPr>
        <w:t>否</w:t>
      </w:r>
      <w:r>
        <w:rPr>
          <w:rFonts w:cs="Times New Roman"/>
        </w:rPr>
        <w:t xml:space="preserve"> </w:t>
      </w:r>
    </w:p>
    <w:p w:rsidR="00A9288A" w:rsidRDefault="007A4434">
      <w:pPr>
        <w:pStyle w:val="Section"/>
        <w:outlineLvl w:val="2"/>
        <w:rPr>
          <w:rFonts w:eastAsia="Times New Roman" w:cs="Times New Roman"/>
        </w:rPr>
      </w:pPr>
      <w:r>
        <w:rPr>
          <w:rFonts w:cs="Times New Roman"/>
        </w:rPr>
        <w:t>5</w:t>
      </w:r>
      <w:r>
        <w:rPr>
          <w:rFonts w:hint="eastAsia"/>
        </w:rPr>
        <w:t>、其他原因的合并范围变动</w:t>
      </w:r>
    </w:p>
    <w:p w:rsidR="00A9288A" w:rsidRDefault="007A4434">
      <w:pPr>
        <w:jc w:val="left"/>
        <w:rPr>
          <w:rFonts w:eastAsia="Times New Roman" w:cs="Times New Roman"/>
        </w:rPr>
      </w:pPr>
      <w:r>
        <w:rPr>
          <w:rFonts w:hint="eastAsia"/>
        </w:rPr>
        <w:t>说明其他原因导致的合并范围变动（如，新设子公司、清算子公司等）及其相关情况：</w:t>
      </w:r>
    </w:p>
    <w:p w:rsidR="00A9288A" w:rsidRDefault="007A4434">
      <w:pPr>
        <w:pStyle w:val="Section"/>
        <w:outlineLvl w:val="2"/>
        <w:rPr>
          <w:rFonts w:eastAsia="Times New Roman" w:cs="Times New Roman"/>
        </w:rPr>
      </w:pPr>
      <w:r>
        <w:rPr>
          <w:rFonts w:cs="Times New Roman"/>
        </w:rPr>
        <w:t>6</w:t>
      </w:r>
      <w:r>
        <w:rPr>
          <w:rFonts w:hint="eastAsia"/>
        </w:rPr>
        <w:t>、其他</w:t>
      </w:r>
    </w:p>
    <w:p w:rsidR="00A9288A" w:rsidRDefault="007A4434">
      <w:pPr>
        <w:pStyle w:val="Chapter"/>
        <w:outlineLvl w:val="1"/>
        <w:rPr>
          <w:rFonts w:eastAsia="Times New Roman" w:cs="Times New Roman"/>
        </w:rPr>
      </w:pPr>
      <w:r>
        <w:rPr>
          <w:rFonts w:hint="eastAsia"/>
        </w:rPr>
        <w:t>九、在其他主体中的权益</w:t>
      </w:r>
    </w:p>
    <w:p w:rsidR="00A9288A" w:rsidRDefault="007A4434">
      <w:pPr>
        <w:pStyle w:val="Section"/>
        <w:outlineLvl w:val="2"/>
        <w:rPr>
          <w:rFonts w:eastAsia="Times New Roman" w:cs="Times New Roman"/>
        </w:rPr>
      </w:pPr>
      <w:r>
        <w:rPr>
          <w:rFonts w:cs="Times New Roman"/>
        </w:rPr>
        <w:t>1</w:t>
      </w:r>
      <w:r>
        <w:rPr>
          <w:rFonts w:hint="eastAsia"/>
        </w:rPr>
        <w:t>、在子公司中的权益</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）企业集团的构成</w:t>
      </w:r>
    </w:p>
    <w:tbl>
      <w:tblPr>
        <w:tblW w:w="0" w:type="auto"/>
        <w:tblInd w:w="-5" w:type="dxa"/>
        <w:tblLayout w:type="fixed"/>
        <w:tblCellMar>
          <w:left w:w="28" w:type="dxa"/>
          <w:right w:w="28" w:type="dxa"/>
        </w:tblCellMar>
        <w:tblLook w:val="0000" w:firstRow="0" w:lastRow="0" w:firstColumn="0" w:lastColumn="0" w:noHBand="0" w:noVBand="0"/>
      </w:tblPr>
      <w:tblGrid>
        <w:gridCol w:w="1371"/>
        <w:gridCol w:w="1367"/>
        <w:gridCol w:w="1367"/>
        <w:gridCol w:w="1367"/>
        <w:gridCol w:w="1367"/>
        <w:gridCol w:w="1366"/>
        <w:gridCol w:w="1366"/>
      </w:tblGrid>
      <w:tr w:rsidR="00A9288A">
        <w:tc>
          <w:tcPr>
            <w:tcW w:w="137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子公司名称</w:t>
            </w:r>
          </w:p>
        </w:tc>
        <w:tc>
          <w:tcPr>
            <w:tcW w:w="1367"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主要经营地</w:t>
            </w:r>
          </w:p>
        </w:tc>
        <w:tc>
          <w:tcPr>
            <w:tcW w:w="1367"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注册地</w:t>
            </w:r>
          </w:p>
        </w:tc>
        <w:tc>
          <w:tcPr>
            <w:tcW w:w="1367"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业务性质</w:t>
            </w:r>
          </w:p>
        </w:tc>
        <w:tc>
          <w:tcPr>
            <w:tcW w:w="2733"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持股比例</w:t>
            </w:r>
          </w:p>
        </w:tc>
        <w:tc>
          <w:tcPr>
            <w:tcW w:w="1366"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取得方式</w:t>
            </w:r>
          </w:p>
        </w:tc>
      </w:tr>
      <w:tr w:rsidR="00A9288A">
        <w:tc>
          <w:tcPr>
            <w:tcW w:w="137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367"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367"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367"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直接</w:t>
            </w:r>
          </w:p>
        </w:tc>
        <w:tc>
          <w:tcPr>
            <w:tcW w:w="13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间接</w:t>
            </w:r>
          </w:p>
        </w:tc>
        <w:tc>
          <w:tcPr>
            <w:tcW w:w="1366"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r>
      <w:tr w:rsidR="00A9288A">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北京海兰信船舶设备有限公司</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生产</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投资设立加收购</w:t>
            </w:r>
          </w:p>
        </w:tc>
      </w:tr>
      <w:tr w:rsidR="00A9288A">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成都海兰天澄科技股份有限公司</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成都</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成都</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生产</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51.00%</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投资设立加收购</w:t>
            </w:r>
          </w:p>
        </w:tc>
      </w:tr>
      <w:tr w:rsidR="00A9288A">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海兰信（香港）航海科技有限公司</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香港</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贸易</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投资设立</w:t>
            </w:r>
          </w:p>
        </w:tc>
      </w:tr>
      <w:tr w:rsidR="00A9288A">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北京海兰盈华科技有限公司</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服务</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投资设立加收购</w:t>
            </w:r>
          </w:p>
        </w:tc>
      </w:tr>
      <w:tr w:rsidR="00A9288A">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海兰盈华（香港）航海科技有限公司</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香港</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香港</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服务</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投资设立</w:t>
            </w:r>
          </w:p>
        </w:tc>
      </w:tr>
      <w:tr w:rsidR="00A9288A">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江苏海兰船舶电气系统科技有限公司</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南通</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南通</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生产</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投资设立加收购</w:t>
            </w:r>
          </w:p>
        </w:tc>
      </w:tr>
      <w:tr w:rsidR="00A9288A">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香港海兰船舶电气系统科技有限公司</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香港</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香港</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贸易</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投资设立</w:t>
            </w:r>
          </w:p>
        </w:tc>
      </w:tr>
      <w:tr w:rsidR="00A9288A">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Rockson Automation GmbH</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德国</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德国基尔</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技术服务</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51.00%</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收购</w:t>
            </w:r>
          </w:p>
        </w:tc>
      </w:tr>
      <w:tr w:rsidR="00A9288A">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上海海兰劳雷海洋科技有限公司</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上海</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上海</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服务</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54.38%</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收购</w:t>
            </w:r>
          </w:p>
        </w:tc>
      </w:tr>
      <w:tr w:rsidR="00A9288A">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劳雷海洋系统有限公司</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香港</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香港</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贸易与服务</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收购</w:t>
            </w:r>
          </w:p>
        </w:tc>
      </w:tr>
      <w:tr w:rsidR="00A9288A">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Summerview Company Limited</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香港</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香港</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投资与一般贸易</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收购</w:t>
            </w:r>
          </w:p>
        </w:tc>
      </w:tr>
      <w:tr w:rsidR="00A9288A">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广东蓝图信息技术有限公司</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广东</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广州</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软件技术</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65.00%</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收购</w:t>
            </w:r>
          </w:p>
        </w:tc>
      </w:tr>
      <w:tr w:rsidR="00A9288A">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北京劳雷海洋仪器有限公司</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系统集成</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收购</w:t>
            </w:r>
          </w:p>
        </w:tc>
      </w:tr>
      <w:tr w:rsidR="00A9288A">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江苏海兰信船舶设备有限公司</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南通</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南通</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生产</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投资设立</w:t>
            </w:r>
          </w:p>
        </w:tc>
      </w:tr>
      <w:tr w:rsidR="00A9288A">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三沙海兰信海洋信息科技有限公司</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三沙</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三沙</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服务</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投资设立</w:t>
            </w:r>
          </w:p>
        </w:tc>
      </w:tr>
    </w:tbl>
    <w:p w:rsidR="00A9288A" w:rsidRDefault="007A4434">
      <w:pPr>
        <w:pStyle w:val="Section"/>
        <w:outlineLvl w:val="3"/>
        <w:rPr>
          <w:rFonts w:eastAsia="Times New Roman" w:cs="Times New Roman"/>
        </w:rPr>
      </w:pPr>
      <w:r>
        <w:rPr>
          <w:rFonts w:hint="eastAsia"/>
        </w:rPr>
        <w:lastRenderedPageBreak/>
        <w:t>（</w:t>
      </w:r>
      <w:r>
        <w:rPr>
          <w:rFonts w:cs="Times New Roman"/>
        </w:rPr>
        <w:t>2</w:t>
      </w:r>
      <w:r>
        <w:rPr>
          <w:rFonts w:hint="eastAsia"/>
        </w:rPr>
        <w:t>）重要的非全资子公司</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916"/>
        <w:gridCol w:w="1914"/>
        <w:gridCol w:w="1914"/>
        <w:gridCol w:w="1913"/>
        <w:gridCol w:w="1913"/>
      </w:tblGrid>
      <w:tr w:rsidR="00A9288A">
        <w:trPr>
          <w:trHeight w:val="352"/>
        </w:trPr>
        <w:tc>
          <w:tcPr>
            <w:tcW w:w="1916"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子公司名称</w:t>
            </w:r>
          </w:p>
        </w:tc>
        <w:tc>
          <w:tcPr>
            <w:tcW w:w="1914"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少数股东持股比例</w:t>
            </w:r>
          </w:p>
        </w:tc>
        <w:tc>
          <w:tcPr>
            <w:tcW w:w="1914"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本期归属于少数股东的损益</w:t>
            </w:r>
          </w:p>
        </w:tc>
        <w:tc>
          <w:tcPr>
            <w:tcW w:w="191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本期向少数股东宣告分派的股利</w:t>
            </w:r>
          </w:p>
        </w:tc>
        <w:tc>
          <w:tcPr>
            <w:tcW w:w="191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期末少数股东权益余额</w:t>
            </w:r>
          </w:p>
        </w:tc>
      </w:tr>
      <w:tr w:rsidR="00A9288A">
        <w:trPr>
          <w:trHeight w:val="392"/>
        </w:trPr>
        <w:tc>
          <w:tcPr>
            <w:tcW w:w="1916" w:type="dxa"/>
            <w:vMerge/>
            <w:tcBorders>
              <w:top w:val="single" w:sz="4" w:space="0" w:color="auto"/>
              <w:left w:val="single" w:sz="4" w:space="0" w:color="auto"/>
              <w:bottom w:val="single" w:sz="4" w:space="0" w:color="auto"/>
              <w:right w:val="single" w:sz="4" w:space="0" w:color="auto"/>
            </w:tcBorders>
            <w:vAlign w:val="center"/>
          </w:tcPr>
          <w:p w:rsidR="00A9288A" w:rsidRDefault="00A9288A">
            <w:pPr>
              <w:rPr>
                <w:rFonts w:eastAsia="Times New Roman" w:cs="Times New Roman"/>
              </w:rPr>
            </w:pPr>
          </w:p>
        </w:tc>
        <w:tc>
          <w:tcPr>
            <w:tcW w:w="1914" w:type="dxa"/>
            <w:vMerge/>
            <w:tcBorders>
              <w:top w:val="single" w:sz="4" w:space="0" w:color="auto"/>
              <w:left w:val="single" w:sz="4" w:space="0" w:color="auto"/>
              <w:bottom w:val="single" w:sz="4" w:space="0" w:color="auto"/>
              <w:right w:val="single" w:sz="4" w:space="0" w:color="auto"/>
            </w:tcBorders>
            <w:vAlign w:val="center"/>
          </w:tcPr>
          <w:p w:rsidR="00A9288A" w:rsidRDefault="00A9288A">
            <w:pPr>
              <w:rPr>
                <w:rFonts w:eastAsia="Times New Roman" w:cs="Times New Roman"/>
              </w:rPr>
            </w:pPr>
          </w:p>
        </w:tc>
        <w:tc>
          <w:tcPr>
            <w:tcW w:w="1914" w:type="dxa"/>
            <w:vMerge/>
            <w:tcBorders>
              <w:top w:val="single" w:sz="4" w:space="0" w:color="auto"/>
              <w:left w:val="single" w:sz="4" w:space="0" w:color="auto"/>
              <w:bottom w:val="single" w:sz="4" w:space="0" w:color="auto"/>
              <w:right w:val="single" w:sz="4" w:space="0" w:color="auto"/>
            </w:tcBorders>
            <w:vAlign w:val="center"/>
          </w:tcPr>
          <w:p w:rsidR="00A9288A" w:rsidRDefault="00A9288A">
            <w:pPr>
              <w:rPr>
                <w:rFonts w:eastAsia="Times New Roman" w:cs="Times New Roman"/>
              </w:rPr>
            </w:pPr>
          </w:p>
        </w:tc>
        <w:tc>
          <w:tcPr>
            <w:tcW w:w="1913" w:type="dxa"/>
            <w:vMerge/>
            <w:tcBorders>
              <w:top w:val="single" w:sz="4" w:space="0" w:color="auto"/>
              <w:left w:val="single" w:sz="4" w:space="0" w:color="auto"/>
              <w:bottom w:val="single" w:sz="4" w:space="0" w:color="auto"/>
              <w:right w:val="single" w:sz="4" w:space="0" w:color="auto"/>
            </w:tcBorders>
            <w:vAlign w:val="center"/>
          </w:tcPr>
          <w:p w:rsidR="00A9288A" w:rsidRDefault="00A9288A">
            <w:pPr>
              <w:rPr>
                <w:rFonts w:eastAsia="Times New Roman" w:cs="Times New Roman"/>
              </w:rPr>
            </w:pPr>
          </w:p>
        </w:tc>
        <w:tc>
          <w:tcPr>
            <w:tcW w:w="1913" w:type="dxa"/>
            <w:vMerge/>
            <w:tcBorders>
              <w:top w:val="single" w:sz="4" w:space="0" w:color="auto"/>
              <w:left w:val="single" w:sz="4" w:space="0" w:color="auto"/>
              <w:bottom w:val="single" w:sz="4" w:space="0" w:color="auto"/>
              <w:right w:val="single" w:sz="4" w:space="0" w:color="auto"/>
            </w:tcBorders>
            <w:vAlign w:val="center"/>
          </w:tcPr>
          <w:p w:rsidR="00A9288A" w:rsidRDefault="00A9288A">
            <w:pPr>
              <w:rPr>
                <w:rFonts w:eastAsia="Times New Roman" w:cs="Times New Roman"/>
              </w:rPr>
            </w:pPr>
          </w:p>
        </w:tc>
      </w:tr>
      <w:tr w:rsidR="00A9288A">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成都海兰天澄科技股份有限公司</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49.00%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-822,404.85</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4,279,811.39</w:t>
            </w:r>
          </w:p>
        </w:tc>
      </w:tr>
      <w:tr w:rsidR="00A9288A">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广东蓝图信息技术有限公司</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35.00%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-137,366.30</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11,314,865.75</w:t>
            </w:r>
          </w:p>
        </w:tc>
      </w:tr>
      <w:tr w:rsidR="00A9288A">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合计</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-959,771.15</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15,594,677.14</w:t>
            </w:r>
          </w:p>
        </w:tc>
      </w:tr>
    </w:tbl>
    <w:p w:rsidR="00A9288A" w:rsidRDefault="007A4434">
      <w:pPr>
        <w:pStyle w:val="Section"/>
        <w:outlineLvl w:val="3"/>
        <w:rPr>
          <w:rFonts w:eastAsia="Times New Roman" w:cs="Times New Roman"/>
        </w:rPr>
      </w:pPr>
      <w:r>
        <w:rPr>
          <w:rFonts w:hint="eastAsia"/>
        </w:rPr>
        <w:t>（</w:t>
      </w:r>
      <w:r>
        <w:rPr>
          <w:rFonts w:cs="Times New Roman"/>
        </w:rPr>
        <w:t>3</w:t>
      </w:r>
      <w:r>
        <w:rPr>
          <w:rFonts w:hint="eastAsia"/>
        </w:rPr>
        <w:t>）重要非全资子公司的主要财务信息</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736"/>
        <w:gridCol w:w="736"/>
        <w:gridCol w:w="736"/>
        <w:gridCol w:w="736"/>
        <w:gridCol w:w="736"/>
        <w:gridCol w:w="735"/>
        <w:gridCol w:w="735"/>
        <w:gridCol w:w="735"/>
        <w:gridCol w:w="735"/>
        <w:gridCol w:w="735"/>
        <w:gridCol w:w="737"/>
        <w:gridCol w:w="736"/>
        <w:gridCol w:w="736"/>
      </w:tblGrid>
      <w:tr w:rsidR="00A9288A">
        <w:tc>
          <w:tcPr>
            <w:tcW w:w="736"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子公司名称</w:t>
            </w:r>
          </w:p>
        </w:tc>
        <w:tc>
          <w:tcPr>
            <w:tcW w:w="4414" w:type="dxa"/>
            <w:gridSpan w:val="6"/>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4414" w:type="dxa"/>
            <w:gridSpan w:val="6"/>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r>
      <w:tr w:rsidR="00A9288A">
        <w:tc>
          <w:tcPr>
            <w:tcW w:w="736"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73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流动资产</w:t>
            </w:r>
          </w:p>
        </w:tc>
        <w:tc>
          <w:tcPr>
            <w:tcW w:w="73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非流动资产</w:t>
            </w:r>
          </w:p>
        </w:tc>
        <w:tc>
          <w:tcPr>
            <w:tcW w:w="73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资产合计</w:t>
            </w:r>
          </w:p>
        </w:tc>
        <w:tc>
          <w:tcPr>
            <w:tcW w:w="73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流动负债</w:t>
            </w:r>
          </w:p>
        </w:tc>
        <w:tc>
          <w:tcPr>
            <w:tcW w:w="7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非流动负债</w:t>
            </w:r>
          </w:p>
        </w:tc>
        <w:tc>
          <w:tcPr>
            <w:tcW w:w="7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负债合计</w:t>
            </w:r>
          </w:p>
        </w:tc>
        <w:tc>
          <w:tcPr>
            <w:tcW w:w="7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流动资产</w:t>
            </w:r>
          </w:p>
        </w:tc>
        <w:tc>
          <w:tcPr>
            <w:tcW w:w="7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非流动资产</w:t>
            </w:r>
          </w:p>
        </w:tc>
        <w:tc>
          <w:tcPr>
            <w:tcW w:w="7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资产合计</w:t>
            </w:r>
          </w:p>
        </w:tc>
        <w:tc>
          <w:tcPr>
            <w:tcW w:w="73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流动负债</w:t>
            </w:r>
          </w:p>
        </w:tc>
        <w:tc>
          <w:tcPr>
            <w:tcW w:w="73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非流动负债</w:t>
            </w:r>
          </w:p>
        </w:tc>
        <w:tc>
          <w:tcPr>
            <w:tcW w:w="73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负债合计</w:t>
            </w:r>
          </w:p>
        </w:tc>
      </w:tr>
      <w:tr w:rsidR="00A9288A">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成都海兰天澄科技股份有限公司</w:t>
            </w:r>
          </w:p>
        </w:tc>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38,597,649.98</w:t>
            </w:r>
          </w:p>
        </w:tc>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11,734,481.76</w:t>
            </w:r>
          </w:p>
        </w:tc>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50,332,131.74</w:t>
            </w:r>
          </w:p>
        </w:tc>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41,597,822.77</w:t>
            </w:r>
          </w:p>
        </w:tc>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41,597,822.77</w:t>
            </w:r>
          </w:p>
        </w:tc>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38,749,003.39</w:t>
            </w:r>
          </w:p>
        </w:tc>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11,989,991.06</w:t>
            </w:r>
          </w:p>
        </w:tc>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50,738,994.45</w:t>
            </w:r>
          </w:p>
        </w:tc>
        <w:tc>
          <w:tcPr>
            <w:tcW w:w="73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40,326,308.24</w:t>
            </w:r>
          </w:p>
        </w:tc>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40,326,308.24</w:t>
            </w:r>
          </w:p>
        </w:tc>
      </w:tr>
      <w:tr w:rsidR="00A9288A">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广东蓝图信息技术有限公司</w:t>
            </w:r>
          </w:p>
        </w:tc>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54,308,143.91</w:t>
            </w:r>
          </w:p>
        </w:tc>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692,508.33</w:t>
            </w:r>
          </w:p>
        </w:tc>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55,000,652.24</w:t>
            </w:r>
          </w:p>
        </w:tc>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22,672,464.37</w:t>
            </w:r>
          </w:p>
        </w:tc>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22,672,464.37</w:t>
            </w:r>
          </w:p>
        </w:tc>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54,446,393.26</w:t>
            </w:r>
          </w:p>
        </w:tc>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1,499,782.27</w:t>
            </w:r>
          </w:p>
        </w:tc>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55,946,175.53</w:t>
            </w:r>
          </w:p>
        </w:tc>
        <w:tc>
          <w:tcPr>
            <w:tcW w:w="73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23,225,512.52</w:t>
            </w:r>
          </w:p>
        </w:tc>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23,225,512.52</w:t>
            </w:r>
          </w:p>
        </w:tc>
      </w:tr>
    </w:tbl>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061"/>
        <w:gridCol w:w="1061"/>
        <w:gridCol w:w="1062"/>
        <w:gridCol w:w="1065"/>
        <w:gridCol w:w="996"/>
        <w:gridCol w:w="1132"/>
        <w:gridCol w:w="1063"/>
        <w:gridCol w:w="1063"/>
        <w:gridCol w:w="1066"/>
      </w:tblGrid>
      <w:tr w:rsidR="00A9288A">
        <w:tc>
          <w:tcPr>
            <w:tcW w:w="106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子公司名称</w:t>
            </w:r>
          </w:p>
        </w:tc>
        <w:tc>
          <w:tcPr>
            <w:tcW w:w="4184"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c>
          <w:tcPr>
            <w:tcW w:w="4324"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上期发生额</w:t>
            </w:r>
          </w:p>
        </w:tc>
      </w:tr>
      <w:tr w:rsidR="00A9288A">
        <w:tc>
          <w:tcPr>
            <w:tcW w:w="106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06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营业收入</w:t>
            </w:r>
          </w:p>
        </w:tc>
        <w:tc>
          <w:tcPr>
            <w:tcW w:w="106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净利润</w:t>
            </w:r>
          </w:p>
        </w:tc>
        <w:tc>
          <w:tcPr>
            <w:tcW w:w="106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综合收益总额</w:t>
            </w:r>
          </w:p>
        </w:tc>
        <w:tc>
          <w:tcPr>
            <w:tcW w:w="99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经营活动现金流量</w:t>
            </w:r>
          </w:p>
        </w:tc>
        <w:tc>
          <w:tcPr>
            <w:tcW w:w="113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营业收入</w:t>
            </w:r>
          </w:p>
        </w:tc>
        <w:tc>
          <w:tcPr>
            <w:tcW w:w="106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净利润</w:t>
            </w:r>
          </w:p>
        </w:tc>
        <w:tc>
          <w:tcPr>
            <w:tcW w:w="106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综合收益总额</w:t>
            </w:r>
          </w:p>
        </w:tc>
        <w:tc>
          <w:tcPr>
            <w:tcW w:w="10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经营活动现金流量</w:t>
            </w:r>
          </w:p>
        </w:tc>
      </w:tr>
      <w:tr w:rsidR="00A9288A">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成都海兰天澄科技股份有限公司</w:t>
            </w: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7,416,391.60</w:t>
            </w:r>
          </w:p>
        </w:tc>
        <w:tc>
          <w:tcPr>
            <w:tcW w:w="106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-1,678,377.24</w:t>
            </w: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-1,678,377.24</w:t>
            </w:r>
          </w:p>
        </w:tc>
        <w:tc>
          <w:tcPr>
            <w:tcW w:w="9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-396,727.08</w:t>
            </w:r>
          </w:p>
        </w:tc>
        <w:tc>
          <w:tcPr>
            <w:tcW w:w="113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8,154,482.88</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-1,573,352.84</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-1,573,352.84</w:t>
            </w: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450,397.70</w:t>
            </w:r>
          </w:p>
        </w:tc>
      </w:tr>
      <w:tr w:rsidR="00A9288A">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广东蓝图信息技术有限公司</w:t>
            </w: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8,288,962.18</w:t>
            </w:r>
          </w:p>
        </w:tc>
        <w:tc>
          <w:tcPr>
            <w:tcW w:w="106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-392,475.14</w:t>
            </w: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-392,475.14</w:t>
            </w:r>
          </w:p>
        </w:tc>
        <w:tc>
          <w:tcPr>
            <w:tcW w:w="99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13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10,585,554.71</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2,751,629.30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2,751,629.30</w:t>
            </w:r>
          </w:p>
        </w:tc>
        <w:tc>
          <w:tcPr>
            <w:tcW w:w="10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-2,713,733.88</w:t>
            </w:r>
          </w:p>
        </w:tc>
      </w:tr>
    </w:tbl>
    <w:p w:rsidR="00A9288A" w:rsidRDefault="007A4434">
      <w:pPr>
        <w:pStyle w:val="Section"/>
        <w:outlineLvl w:val="3"/>
        <w:rPr>
          <w:rFonts w:eastAsia="Times New Roman" w:cs="Times New Roman"/>
        </w:rPr>
      </w:pPr>
      <w:r>
        <w:rPr>
          <w:rFonts w:hint="eastAsia"/>
        </w:rPr>
        <w:lastRenderedPageBreak/>
        <w:t>（</w:t>
      </w:r>
      <w:r>
        <w:rPr>
          <w:rFonts w:cs="Times New Roman"/>
        </w:rPr>
        <w:t>4</w:t>
      </w:r>
      <w:r>
        <w:rPr>
          <w:rFonts w:hint="eastAsia"/>
        </w:rPr>
        <w:t>）使用企业集团资产和清偿企业集团债务的重大限制</w:t>
      </w:r>
    </w:p>
    <w:p w:rsidR="00A9288A" w:rsidRDefault="007A4434">
      <w:pPr>
        <w:pStyle w:val="Section"/>
        <w:outlineLvl w:val="3"/>
        <w:rPr>
          <w:rFonts w:eastAsia="Times New Roman" w:cs="Times New Roman"/>
        </w:rPr>
      </w:pPr>
      <w:r>
        <w:rPr>
          <w:rFonts w:hint="eastAsia"/>
        </w:rPr>
        <w:t>（</w:t>
      </w:r>
      <w:r>
        <w:rPr>
          <w:rFonts w:cs="Times New Roman"/>
        </w:rPr>
        <w:t>5</w:t>
      </w:r>
      <w:r>
        <w:rPr>
          <w:rFonts w:hint="eastAsia"/>
        </w:rPr>
        <w:t>）向纳入合并财务报表范围的结构化主体提供的财务支持或其他支持</w:t>
      </w:r>
    </w:p>
    <w:p w:rsidR="00A9288A" w:rsidRDefault="007A4434">
      <w:pPr>
        <w:pStyle w:val="Section"/>
        <w:outlineLvl w:val="2"/>
        <w:rPr>
          <w:rFonts w:eastAsia="Times New Roman" w:cs="Times New Roman"/>
        </w:rPr>
      </w:pPr>
      <w:r>
        <w:rPr>
          <w:rFonts w:cs="Times New Roman"/>
        </w:rPr>
        <w:t>2</w:t>
      </w:r>
      <w:r>
        <w:rPr>
          <w:rFonts w:hint="eastAsia"/>
        </w:rPr>
        <w:t>、在子公司的所有者权益份额发生变化且仍控制子公司的交易</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）在子公司所有者权益份额发生变化的情况说明</w:t>
      </w: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）交易对于少数股东权益及归属于母公司所有者权益的影响</w:t>
      </w:r>
    </w:p>
    <w:p w:rsidR="00A9288A" w:rsidRDefault="007A4434">
      <w:pPr>
        <w:pStyle w:val="Section"/>
        <w:outlineLvl w:val="2"/>
        <w:rPr>
          <w:rFonts w:eastAsia="Times New Roman" w:cs="Times New Roman"/>
        </w:rPr>
      </w:pPr>
      <w:r>
        <w:rPr>
          <w:rFonts w:cs="Times New Roman"/>
        </w:rPr>
        <w:t>3</w:t>
      </w:r>
      <w:r>
        <w:rPr>
          <w:rFonts w:hint="eastAsia"/>
        </w:rPr>
        <w:t>、在合营安排或联营企业中的权益</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）重要的合营企业或联营企业</w:t>
      </w:r>
    </w:p>
    <w:tbl>
      <w:tblPr>
        <w:tblW w:w="0" w:type="auto"/>
        <w:tblInd w:w="-5" w:type="dxa"/>
        <w:tblLayout w:type="fixed"/>
        <w:tblCellMar>
          <w:left w:w="28" w:type="dxa"/>
          <w:right w:w="28" w:type="dxa"/>
        </w:tblCellMar>
        <w:tblLook w:val="0000" w:firstRow="0" w:lastRow="0" w:firstColumn="0" w:lastColumn="0" w:noHBand="0" w:noVBand="0"/>
      </w:tblPr>
      <w:tblGrid>
        <w:gridCol w:w="1371"/>
        <w:gridCol w:w="1367"/>
        <w:gridCol w:w="1367"/>
        <w:gridCol w:w="1367"/>
        <w:gridCol w:w="1367"/>
        <w:gridCol w:w="1366"/>
        <w:gridCol w:w="1366"/>
      </w:tblGrid>
      <w:tr w:rsidR="00A9288A">
        <w:tc>
          <w:tcPr>
            <w:tcW w:w="137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合营企业或联营企业名称</w:t>
            </w:r>
          </w:p>
        </w:tc>
        <w:tc>
          <w:tcPr>
            <w:tcW w:w="1367"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主要经营地</w:t>
            </w:r>
          </w:p>
        </w:tc>
        <w:tc>
          <w:tcPr>
            <w:tcW w:w="1367"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注册地</w:t>
            </w:r>
          </w:p>
        </w:tc>
        <w:tc>
          <w:tcPr>
            <w:tcW w:w="1367"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业务性质</w:t>
            </w:r>
          </w:p>
        </w:tc>
        <w:tc>
          <w:tcPr>
            <w:tcW w:w="2733"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持股比例</w:t>
            </w:r>
          </w:p>
        </w:tc>
        <w:tc>
          <w:tcPr>
            <w:tcW w:w="1366"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对合营企业或联营企业投资的会计处理方法</w:t>
            </w:r>
          </w:p>
        </w:tc>
      </w:tr>
      <w:tr w:rsidR="00A9288A">
        <w:tc>
          <w:tcPr>
            <w:tcW w:w="1371"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367"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367"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367"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直接</w:t>
            </w:r>
          </w:p>
        </w:tc>
        <w:tc>
          <w:tcPr>
            <w:tcW w:w="136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间接</w:t>
            </w:r>
          </w:p>
        </w:tc>
        <w:tc>
          <w:tcPr>
            <w:tcW w:w="1366"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r>
      <w:tr w:rsidR="00A9288A">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江苏海兰信海洋工程技术开发有限公司</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南通</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南通</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技术</w:t>
            </w:r>
            <w:r>
              <w:rPr>
                <w:rFonts w:cs="Times New Roman"/>
              </w:rPr>
              <w:t>/</w:t>
            </w:r>
            <w:r>
              <w:rPr>
                <w:rFonts w:hint="eastAsia"/>
              </w:rPr>
              <w:t>开发</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42.86%</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权益法核算</w:t>
            </w:r>
          </w:p>
        </w:tc>
      </w:tr>
      <w:tr w:rsidR="00A9288A">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武汉劳雷绿湾船舶科技有限公司</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武汉</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武汉</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研发、生产</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35.00%</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权益法核算</w:t>
            </w:r>
          </w:p>
        </w:tc>
      </w:tr>
      <w:tr w:rsidR="00A9288A">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浙江海兰信海洋信息科技有限公司</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舟山</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舟山</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研发、生产</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40.00%</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权益法核算</w:t>
            </w:r>
          </w:p>
        </w:tc>
      </w:tr>
    </w:tbl>
    <w:p w:rsidR="00A9288A" w:rsidRDefault="007A4434">
      <w:pPr>
        <w:jc w:val="left"/>
        <w:rPr>
          <w:rFonts w:eastAsia="Times New Roman" w:cs="Times New Roman"/>
        </w:rPr>
      </w:pPr>
      <w:r>
        <w:rPr>
          <w:rFonts w:hint="eastAsia"/>
        </w:rPr>
        <w:t>在合营企业或联营企业的持股比例不同于表决权比例的说明：</w:t>
      </w:r>
    </w:p>
    <w:p w:rsidR="00A9288A" w:rsidRDefault="007A4434">
      <w:pPr>
        <w:jc w:val="left"/>
        <w:rPr>
          <w:rFonts w:eastAsia="Times New Roman" w:cs="Times New Roman"/>
        </w:rPr>
      </w:pPr>
      <w:r>
        <w:rPr>
          <w:rFonts w:hint="eastAsia"/>
        </w:rPr>
        <w:t>持有</w:t>
      </w:r>
      <w:r>
        <w:rPr>
          <w:rFonts w:cs="Times New Roman"/>
        </w:rPr>
        <w:t>20%</w:t>
      </w:r>
      <w:r>
        <w:rPr>
          <w:rFonts w:hint="eastAsia"/>
        </w:rPr>
        <w:t>以下表决权但具有重大影响，或者持有</w:t>
      </w:r>
      <w:r>
        <w:rPr>
          <w:rFonts w:cs="Times New Roman"/>
        </w:rPr>
        <w:t>20%</w:t>
      </w:r>
      <w:r>
        <w:rPr>
          <w:rFonts w:hint="eastAsia"/>
        </w:rPr>
        <w:t>或以上表决权但不具有重大影响的依据：</w:t>
      </w: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）重要合营企业的主要财务信息</w:t>
      </w:r>
    </w:p>
    <w:p w:rsidR="00A9288A" w:rsidRDefault="007A4434">
      <w:pPr>
        <w:pStyle w:val="Section"/>
        <w:outlineLvl w:val="3"/>
        <w:rPr>
          <w:rFonts w:eastAsia="Times New Roman" w:cs="Times New Roman"/>
        </w:rPr>
      </w:pPr>
      <w:r>
        <w:rPr>
          <w:rFonts w:hint="eastAsia"/>
        </w:rPr>
        <w:t>（</w:t>
      </w:r>
      <w:r>
        <w:rPr>
          <w:rFonts w:cs="Times New Roman"/>
        </w:rPr>
        <w:t>3</w:t>
      </w:r>
      <w:r>
        <w:rPr>
          <w:rFonts w:hint="eastAsia"/>
        </w:rPr>
        <w:t>）重要联营企业的主要财务信息</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367"/>
        <w:gridCol w:w="1367"/>
        <w:gridCol w:w="1367"/>
        <w:gridCol w:w="1367"/>
        <w:gridCol w:w="1367"/>
        <w:gridCol w:w="1367"/>
        <w:gridCol w:w="1367"/>
      </w:tblGrid>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center"/>
              <w:rPr>
                <w:rFonts w:eastAsia="Times New Roman" w:cs="Times New Roman"/>
              </w:rPr>
            </w:pPr>
          </w:p>
        </w:tc>
        <w:tc>
          <w:tcPr>
            <w:tcW w:w="4101"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r>
              <w:rPr>
                <w:rFonts w:cs="Times New Roman"/>
              </w:rPr>
              <w:t>/</w:t>
            </w:r>
            <w:r>
              <w:rPr>
                <w:rFonts w:hint="eastAsia"/>
              </w:rPr>
              <w:t>本期发生额</w:t>
            </w:r>
          </w:p>
        </w:tc>
        <w:tc>
          <w:tcPr>
            <w:tcW w:w="4101"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r>
              <w:rPr>
                <w:rFonts w:cs="Times New Roman"/>
              </w:rPr>
              <w:t>/</w:t>
            </w:r>
            <w:r>
              <w:rPr>
                <w:rFonts w:hint="eastAsia"/>
              </w:rPr>
              <w:t>上期发生额</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A9288A">
            <w:pPr>
              <w:jc w:val="center"/>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center"/>
              <w:rPr>
                <w:rFonts w:cs="Times New Roman"/>
              </w:rPr>
            </w:pPr>
            <w:r>
              <w:rPr>
                <w:rFonts w:cs="Times New Roman"/>
              </w:rPr>
              <w:t xml:space="preserve"> </w:t>
            </w:r>
            <w:r>
              <w:rPr>
                <w:rFonts w:hint="eastAsia"/>
              </w:rPr>
              <w:t>江苏海兰信海洋工程技术开发有限公司</w:t>
            </w:r>
            <w:r>
              <w:rPr>
                <w:rFonts w:cs="Times New Roman"/>
              </w:rPr>
              <w:t xml:space="preserve"> </w:t>
            </w:r>
          </w:p>
        </w:tc>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center"/>
              <w:rPr>
                <w:rFonts w:eastAsia="Times New Roman" w:cs="Times New Roman"/>
              </w:rPr>
            </w:pPr>
            <w:r>
              <w:rPr>
                <w:rFonts w:hint="eastAsia"/>
              </w:rPr>
              <w:t>武汉劳雷绿湾船舶科技有限公司</w:t>
            </w:r>
          </w:p>
        </w:tc>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center"/>
              <w:rPr>
                <w:rFonts w:eastAsia="Times New Roman" w:cs="Times New Roman"/>
              </w:rPr>
            </w:pPr>
            <w:r>
              <w:rPr>
                <w:rFonts w:hint="eastAsia"/>
              </w:rPr>
              <w:t>浙江海兰信海洋信息科技有限公司</w:t>
            </w:r>
          </w:p>
        </w:tc>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center"/>
              <w:rPr>
                <w:rFonts w:cs="Times New Roman"/>
              </w:rPr>
            </w:pPr>
            <w:r>
              <w:rPr>
                <w:rFonts w:cs="Times New Roman"/>
              </w:rPr>
              <w:t xml:space="preserve"> </w:t>
            </w:r>
            <w:r>
              <w:rPr>
                <w:rFonts w:hint="eastAsia"/>
              </w:rPr>
              <w:t>江苏海兰信海洋工程技术开发有限公司</w:t>
            </w:r>
            <w:r>
              <w:rPr>
                <w:rFonts w:cs="Times New Roman"/>
              </w:rPr>
              <w:t xml:space="preserve"> </w:t>
            </w:r>
          </w:p>
        </w:tc>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center"/>
              <w:rPr>
                <w:rFonts w:eastAsia="Times New Roman" w:cs="Times New Roman"/>
              </w:rPr>
            </w:pPr>
            <w:r>
              <w:rPr>
                <w:rFonts w:hint="eastAsia"/>
              </w:rPr>
              <w:t>武汉劳雷绿湾船舶科技有限公司</w:t>
            </w:r>
          </w:p>
        </w:tc>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A9288A" w:rsidRDefault="007A4434">
            <w:pPr>
              <w:jc w:val="center"/>
              <w:rPr>
                <w:rFonts w:eastAsia="Times New Roman" w:cs="Times New Roman"/>
              </w:rPr>
            </w:pPr>
            <w:r>
              <w:rPr>
                <w:rFonts w:hint="eastAsia"/>
              </w:rPr>
              <w:t>浙江海兰信海洋信息科技有限公司</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流动资产</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31,313,509.60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11,152,935.73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38,110,571.05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32,417,689.25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14,210,328.16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38,795,674.58</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非流动资产</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33,108,373.88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3,322,208.08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11,238,033.87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32,701,409.35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3,390,027.36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11,185,427.49</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资产合计</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64,421,883.48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14,475,143.81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49,348,604.92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65,119,098.60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17,600,355.52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49,981,102.07</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流动负债</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344,554.47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146,997.04</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913,463.74</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406,844.45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199,314.41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575,606.53</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lastRenderedPageBreak/>
              <w:t>负债合计</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344,554.47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146,997.04</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913,463.74</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406,844.45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199,314.41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575,606.53</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归属于母公司股东权益</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64,077,329.01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14,328,146.77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48,435,141.18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64,712,254.15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17,401,041.11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49,405,495.54</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按持股比例计算的净资产份额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27,463,543.21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5,014,851.37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19,374,056.47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27,735,672.13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6,090,364.39</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19,762,198.22</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eastAsia="Times New Roman" w:cs="Times New Roman"/>
              </w:rPr>
              <w:t>--</w:t>
            </w:r>
            <w:r>
              <w:rPr>
                <w:rFonts w:hint="eastAsia"/>
              </w:rPr>
              <w:t>商誉</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6,172,012.85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6,172,012.85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eastAsia="Times New Roman" w:cs="Times New Roman"/>
              </w:rPr>
              <w:t>--</w:t>
            </w:r>
            <w:r>
              <w:rPr>
                <w:rFonts w:hint="eastAsia"/>
              </w:rPr>
              <w:t>其他</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-1,830.78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-42,665.13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-11,408.67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-1,848.92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-43,018.39</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-11,408.68</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对联营企业权益投资的账面价值</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27,461,712.43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11,144,199.09</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19,362,647.80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27,733,823.21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12,219,358.85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19,750,789.54</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营业收入</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546,581.61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952,586.14</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1,399,488.29</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净利润</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-1,045,687.84</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-3,071,885.01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-970,354.36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-1,921,877.38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-722,791.61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138,247.37</w:t>
            </w: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其他综合收益</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46,281.81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综合收益总额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-999,406.03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-3,071,885.01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-970,354.36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-1,921,877.38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-722,791.61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138,247.37</w:t>
            </w:r>
          </w:p>
        </w:tc>
      </w:tr>
    </w:tbl>
    <w:p w:rsidR="00A9288A" w:rsidRDefault="007A4434">
      <w:pPr>
        <w:jc w:val="left"/>
        <w:rPr>
          <w:rFonts w:eastAsia="Times New Roman" w:cs="Times New Roman"/>
        </w:rPr>
      </w:pPr>
      <w:r>
        <w:rPr>
          <w:rFonts w:hint="eastAsia"/>
        </w:rPr>
        <w:t>其他说明</w:t>
      </w:r>
    </w:p>
    <w:p w:rsidR="00A9288A" w:rsidRDefault="007A4434">
      <w:pPr>
        <w:pStyle w:val="Section"/>
        <w:outlineLvl w:val="3"/>
        <w:rPr>
          <w:rFonts w:eastAsia="Times New Roman" w:cs="Times New Roman"/>
        </w:rPr>
      </w:pPr>
      <w:r>
        <w:rPr>
          <w:rFonts w:hint="eastAsia"/>
        </w:rPr>
        <w:t>（</w:t>
      </w:r>
      <w:r>
        <w:rPr>
          <w:rFonts w:cs="Times New Roman"/>
        </w:rPr>
        <w:t>4</w:t>
      </w:r>
      <w:r>
        <w:rPr>
          <w:rFonts w:hint="eastAsia"/>
        </w:rPr>
        <w:t>）不重要的合营企业和联营企业的汇总财务信息</w:t>
      </w:r>
    </w:p>
    <w:p w:rsidR="00A9288A" w:rsidRDefault="007A4434">
      <w:pPr>
        <w:pStyle w:val="Section"/>
        <w:outlineLvl w:val="3"/>
        <w:rPr>
          <w:rFonts w:eastAsia="Times New Roman" w:cs="Times New Roman"/>
        </w:rPr>
      </w:pPr>
      <w:r>
        <w:rPr>
          <w:rFonts w:hint="eastAsia"/>
        </w:rPr>
        <w:t>（</w:t>
      </w:r>
      <w:r>
        <w:rPr>
          <w:rFonts w:cs="Times New Roman"/>
        </w:rPr>
        <w:t>5</w:t>
      </w:r>
      <w:r>
        <w:rPr>
          <w:rFonts w:hint="eastAsia"/>
        </w:rPr>
        <w:t>）合营企业或联营企业向本公司转移资金的能力存在重大限制的说明</w:t>
      </w:r>
    </w:p>
    <w:p w:rsidR="00A9288A" w:rsidRDefault="007A4434">
      <w:pPr>
        <w:pStyle w:val="Section"/>
        <w:outlineLvl w:val="3"/>
        <w:rPr>
          <w:rFonts w:eastAsia="Times New Roman" w:cs="Times New Roman"/>
        </w:rPr>
      </w:pPr>
      <w:r>
        <w:rPr>
          <w:rFonts w:hint="eastAsia"/>
        </w:rPr>
        <w:t>（</w:t>
      </w:r>
      <w:r>
        <w:rPr>
          <w:rFonts w:cs="Times New Roman"/>
        </w:rPr>
        <w:t>6</w:t>
      </w:r>
      <w:r>
        <w:rPr>
          <w:rFonts w:hint="eastAsia"/>
        </w:rPr>
        <w:t>）合营企业或联营企业发生的超额亏损</w:t>
      </w:r>
    </w:p>
    <w:p w:rsidR="00A9288A" w:rsidRDefault="007A4434">
      <w:pPr>
        <w:pStyle w:val="Section"/>
        <w:outlineLvl w:val="3"/>
        <w:rPr>
          <w:rFonts w:eastAsia="Times New Roman" w:cs="Times New Roman"/>
        </w:rPr>
      </w:pPr>
      <w:r>
        <w:rPr>
          <w:rFonts w:hint="eastAsia"/>
        </w:rPr>
        <w:t>（</w:t>
      </w:r>
      <w:r>
        <w:rPr>
          <w:rFonts w:cs="Times New Roman"/>
        </w:rPr>
        <w:t>7</w:t>
      </w:r>
      <w:r>
        <w:rPr>
          <w:rFonts w:hint="eastAsia"/>
        </w:rPr>
        <w:t>）与合营企业投资相关的未确认承诺</w:t>
      </w:r>
    </w:p>
    <w:p w:rsidR="00A9288A" w:rsidRDefault="007A4434">
      <w:pPr>
        <w:pStyle w:val="Section"/>
        <w:outlineLvl w:val="3"/>
        <w:rPr>
          <w:rFonts w:eastAsia="Times New Roman" w:cs="Times New Roman"/>
        </w:rPr>
      </w:pPr>
      <w:r>
        <w:rPr>
          <w:rFonts w:hint="eastAsia"/>
        </w:rPr>
        <w:t>（</w:t>
      </w:r>
      <w:r>
        <w:rPr>
          <w:rFonts w:cs="Times New Roman"/>
        </w:rPr>
        <w:t>8</w:t>
      </w:r>
      <w:r>
        <w:rPr>
          <w:rFonts w:hint="eastAsia"/>
        </w:rPr>
        <w:t>）与合营企业或联营企业投资相关的或有负债</w:t>
      </w:r>
    </w:p>
    <w:p w:rsidR="00A9288A" w:rsidRDefault="007A4434">
      <w:pPr>
        <w:pStyle w:val="Section"/>
        <w:outlineLvl w:val="2"/>
        <w:rPr>
          <w:rFonts w:eastAsia="Times New Roman" w:cs="Times New Roman"/>
        </w:rPr>
      </w:pPr>
      <w:r>
        <w:rPr>
          <w:rFonts w:cs="Times New Roman"/>
        </w:rPr>
        <w:t>4</w:t>
      </w:r>
      <w:r>
        <w:rPr>
          <w:rFonts w:hint="eastAsia"/>
        </w:rPr>
        <w:t>、重要的共同经营</w:t>
      </w:r>
    </w:p>
    <w:p w:rsidR="00A9288A" w:rsidRDefault="007A4434">
      <w:pPr>
        <w:pStyle w:val="Section"/>
        <w:outlineLvl w:val="2"/>
        <w:rPr>
          <w:rFonts w:eastAsia="Times New Roman" w:cs="Times New Roman"/>
        </w:rPr>
      </w:pPr>
      <w:r>
        <w:rPr>
          <w:rFonts w:cs="Times New Roman"/>
        </w:rPr>
        <w:t>5</w:t>
      </w:r>
      <w:r>
        <w:rPr>
          <w:rFonts w:hint="eastAsia"/>
        </w:rPr>
        <w:t>、在未纳入合并财务报表范围的结构化主体中的权益</w:t>
      </w:r>
    </w:p>
    <w:p w:rsidR="00A9288A" w:rsidRDefault="007A4434">
      <w:pPr>
        <w:pStyle w:val="Section"/>
        <w:outlineLvl w:val="2"/>
        <w:rPr>
          <w:rFonts w:eastAsia="Times New Roman" w:cs="Times New Roman"/>
        </w:rPr>
      </w:pPr>
      <w:r>
        <w:rPr>
          <w:rFonts w:cs="Times New Roman"/>
        </w:rPr>
        <w:t>6</w:t>
      </w:r>
      <w:r>
        <w:rPr>
          <w:rFonts w:hint="eastAsia"/>
        </w:rPr>
        <w:t>、其他</w:t>
      </w:r>
    </w:p>
    <w:p w:rsidR="00A9288A" w:rsidRDefault="007A4434">
      <w:pPr>
        <w:pStyle w:val="Chapter"/>
        <w:outlineLvl w:val="1"/>
        <w:rPr>
          <w:rFonts w:eastAsia="Times New Roman" w:cs="Times New Roman"/>
        </w:rPr>
      </w:pPr>
      <w:r>
        <w:rPr>
          <w:rFonts w:hint="eastAsia"/>
        </w:rPr>
        <w:t>十、与金融工具相关的风险</w:t>
      </w:r>
    </w:p>
    <w:p w:rsidR="00A9288A" w:rsidRDefault="007A4434">
      <w:pPr>
        <w:pStyle w:val="Chapter"/>
        <w:outlineLvl w:val="1"/>
        <w:rPr>
          <w:rFonts w:eastAsia="Times New Roman" w:cs="Times New Roman"/>
        </w:rPr>
      </w:pPr>
      <w:r>
        <w:rPr>
          <w:rFonts w:hint="eastAsia"/>
        </w:rPr>
        <w:t>十一、公允价值的披露</w:t>
      </w:r>
    </w:p>
    <w:p w:rsidR="00A9288A" w:rsidRDefault="007A4434">
      <w:pPr>
        <w:pStyle w:val="Section"/>
        <w:outlineLvl w:val="2"/>
        <w:rPr>
          <w:rFonts w:eastAsia="Times New Roman" w:cs="Times New Roman"/>
        </w:rPr>
      </w:pPr>
      <w:r>
        <w:rPr>
          <w:rFonts w:cs="Times New Roman"/>
        </w:rPr>
        <w:t>1</w:t>
      </w:r>
      <w:r>
        <w:rPr>
          <w:rFonts w:hint="eastAsia"/>
        </w:rPr>
        <w:t>、以公允价值计量的资产和负债的期末公允价值</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p w:rsidR="00A9288A" w:rsidRDefault="007A4434">
      <w:pPr>
        <w:pStyle w:val="Section"/>
        <w:outlineLvl w:val="2"/>
        <w:rPr>
          <w:rFonts w:eastAsia="Times New Roman" w:cs="Times New Roman"/>
        </w:rPr>
      </w:pPr>
      <w:r>
        <w:rPr>
          <w:rFonts w:cs="Times New Roman"/>
        </w:rPr>
        <w:lastRenderedPageBreak/>
        <w:t>2</w:t>
      </w:r>
      <w:r>
        <w:rPr>
          <w:rFonts w:hint="eastAsia"/>
        </w:rPr>
        <w:t>、持续和非持续第一层次公允价值计量项目市价的确定依据</w:t>
      </w:r>
    </w:p>
    <w:p w:rsidR="00A9288A" w:rsidRDefault="007A4434">
      <w:pPr>
        <w:pStyle w:val="Section"/>
        <w:outlineLvl w:val="2"/>
        <w:rPr>
          <w:rFonts w:eastAsia="Times New Roman" w:cs="Times New Roman"/>
        </w:rPr>
      </w:pPr>
      <w:r>
        <w:rPr>
          <w:rFonts w:cs="Times New Roman"/>
        </w:rPr>
        <w:t>3</w:t>
      </w:r>
      <w:r>
        <w:rPr>
          <w:rFonts w:hint="eastAsia"/>
        </w:rPr>
        <w:t>、持续和非持续第二层次公允价值计量项目，采用的估值技术和重要参数的定性及定量信息</w:t>
      </w:r>
    </w:p>
    <w:p w:rsidR="00A9288A" w:rsidRDefault="007A4434">
      <w:pPr>
        <w:pStyle w:val="Section"/>
        <w:outlineLvl w:val="2"/>
        <w:rPr>
          <w:rFonts w:eastAsia="Times New Roman" w:cs="Times New Roman"/>
        </w:rPr>
      </w:pPr>
      <w:r>
        <w:rPr>
          <w:rFonts w:cs="Times New Roman"/>
        </w:rPr>
        <w:t>4</w:t>
      </w:r>
      <w:r>
        <w:rPr>
          <w:rFonts w:hint="eastAsia"/>
        </w:rPr>
        <w:t>、持续和非持续第三层次公允价值计量项目，采用的估值技术和重要参数的定性及定量信息</w:t>
      </w:r>
    </w:p>
    <w:p w:rsidR="00A9288A" w:rsidRDefault="007A4434">
      <w:pPr>
        <w:pStyle w:val="Section"/>
        <w:outlineLvl w:val="2"/>
        <w:rPr>
          <w:rFonts w:eastAsia="Times New Roman" w:cs="Times New Roman"/>
        </w:rPr>
      </w:pPr>
      <w:r>
        <w:rPr>
          <w:rFonts w:cs="Times New Roman"/>
        </w:rPr>
        <w:t>5</w:t>
      </w:r>
      <w:r>
        <w:rPr>
          <w:rFonts w:hint="eastAsia"/>
        </w:rPr>
        <w:t>、持续的第三层次公允价值计量项目，期初与期末账面价值间的调节信息及不可观察参数敏感性分析</w:t>
      </w:r>
    </w:p>
    <w:p w:rsidR="00A9288A" w:rsidRDefault="007A4434">
      <w:pPr>
        <w:pStyle w:val="Section"/>
        <w:outlineLvl w:val="2"/>
        <w:rPr>
          <w:rFonts w:eastAsia="Times New Roman" w:cs="Times New Roman"/>
        </w:rPr>
      </w:pPr>
      <w:r>
        <w:rPr>
          <w:rFonts w:cs="Times New Roman"/>
        </w:rPr>
        <w:t>6</w:t>
      </w:r>
      <w:r>
        <w:rPr>
          <w:rFonts w:hint="eastAsia"/>
        </w:rPr>
        <w:t>、持续的公允价值计量项目，本期内发生各层级之间转换的，转换的原因及确定转换时点的政策</w:t>
      </w:r>
    </w:p>
    <w:p w:rsidR="00A9288A" w:rsidRDefault="007A4434">
      <w:pPr>
        <w:pStyle w:val="Section"/>
        <w:outlineLvl w:val="2"/>
        <w:rPr>
          <w:rFonts w:eastAsia="Times New Roman" w:cs="Times New Roman"/>
        </w:rPr>
      </w:pPr>
      <w:r>
        <w:rPr>
          <w:rFonts w:cs="Times New Roman"/>
        </w:rPr>
        <w:t>7</w:t>
      </w:r>
      <w:r>
        <w:rPr>
          <w:rFonts w:hint="eastAsia"/>
        </w:rPr>
        <w:t>、本期内发生的估值技术变更及变更原因</w:t>
      </w:r>
    </w:p>
    <w:p w:rsidR="00A9288A" w:rsidRDefault="007A4434">
      <w:pPr>
        <w:pStyle w:val="Section"/>
        <w:outlineLvl w:val="2"/>
        <w:rPr>
          <w:rFonts w:eastAsia="Times New Roman" w:cs="Times New Roman"/>
        </w:rPr>
      </w:pPr>
      <w:r>
        <w:rPr>
          <w:rFonts w:cs="Times New Roman"/>
        </w:rPr>
        <w:t>8</w:t>
      </w:r>
      <w:r>
        <w:rPr>
          <w:rFonts w:hint="eastAsia"/>
        </w:rPr>
        <w:t>、不以公允价值计量的金融资产和金融负债的公允价值情况</w:t>
      </w:r>
    </w:p>
    <w:p w:rsidR="00A9288A" w:rsidRDefault="007A4434">
      <w:pPr>
        <w:pStyle w:val="Section"/>
        <w:outlineLvl w:val="2"/>
        <w:rPr>
          <w:rFonts w:eastAsia="Times New Roman" w:cs="Times New Roman"/>
        </w:rPr>
      </w:pPr>
      <w:r>
        <w:rPr>
          <w:rFonts w:cs="Times New Roman"/>
        </w:rPr>
        <w:t>9</w:t>
      </w:r>
      <w:r>
        <w:rPr>
          <w:rFonts w:hint="eastAsia"/>
        </w:rPr>
        <w:t>、其他</w:t>
      </w:r>
    </w:p>
    <w:p w:rsidR="00A9288A" w:rsidRDefault="007A4434">
      <w:pPr>
        <w:pStyle w:val="Chapter"/>
        <w:outlineLvl w:val="1"/>
        <w:rPr>
          <w:rFonts w:eastAsia="Times New Roman" w:cs="Times New Roman"/>
        </w:rPr>
      </w:pPr>
      <w:r>
        <w:rPr>
          <w:rFonts w:hint="eastAsia"/>
        </w:rPr>
        <w:t>十二、关联方及关联交易</w:t>
      </w:r>
    </w:p>
    <w:p w:rsidR="00A9288A" w:rsidRDefault="007A4434">
      <w:pPr>
        <w:pStyle w:val="Section"/>
        <w:outlineLvl w:val="2"/>
        <w:rPr>
          <w:rFonts w:eastAsia="Times New Roman" w:cs="Times New Roman"/>
        </w:rPr>
      </w:pPr>
      <w:r>
        <w:rPr>
          <w:rFonts w:cs="Times New Roman"/>
        </w:rPr>
        <w:t>1</w:t>
      </w:r>
      <w:r>
        <w:rPr>
          <w:rFonts w:hint="eastAsia"/>
        </w:rPr>
        <w:t>、本企业的母公司情况</w:t>
      </w:r>
    </w:p>
    <w:tbl>
      <w:tblPr>
        <w:tblW w:w="0" w:type="auto"/>
        <w:tblInd w:w="-5" w:type="dxa"/>
        <w:tblLayout w:type="fixed"/>
        <w:tblCellMar>
          <w:left w:w="28" w:type="dxa"/>
          <w:right w:w="28" w:type="dxa"/>
        </w:tblCellMar>
        <w:tblLook w:val="0000" w:firstRow="0" w:lastRow="0" w:firstColumn="0" w:lastColumn="0" w:noHBand="0" w:noVBand="0"/>
      </w:tblPr>
      <w:tblGrid>
        <w:gridCol w:w="1595"/>
        <w:gridCol w:w="1594"/>
        <w:gridCol w:w="1594"/>
        <w:gridCol w:w="1594"/>
        <w:gridCol w:w="1594"/>
        <w:gridCol w:w="1595"/>
      </w:tblGrid>
      <w:tr w:rsidR="00A9288A">
        <w:tc>
          <w:tcPr>
            <w:tcW w:w="159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母公司名称</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注册地</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业务性质</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注册资本</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母公司对本企业的持股比例</w:t>
            </w:r>
          </w:p>
        </w:tc>
        <w:tc>
          <w:tcPr>
            <w:tcW w:w="159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母公司对本企业的表决权比例</w:t>
            </w:r>
          </w:p>
        </w:tc>
      </w:tr>
    </w:tbl>
    <w:p w:rsidR="00A9288A" w:rsidRDefault="007A4434">
      <w:pPr>
        <w:jc w:val="left"/>
        <w:rPr>
          <w:rFonts w:eastAsia="Times New Roman" w:cs="Times New Roman"/>
        </w:rPr>
      </w:pPr>
      <w:r>
        <w:rPr>
          <w:rFonts w:hint="eastAsia"/>
        </w:rPr>
        <w:t>本企业的母公司情况的说明</w:t>
      </w:r>
    </w:p>
    <w:tbl>
      <w:tblPr>
        <w:tblW w:w="0" w:type="auto"/>
        <w:tblInd w:w="8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10" w:type="dxa"/>
          <w:left w:w="10" w:type="dxa"/>
          <w:bottom w:w="10" w:type="dxa"/>
          <w:right w:w="10" w:type="dxa"/>
        </w:tblCellMar>
        <w:tblLook w:val="0000" w:firstRow="0" w:lastRow="0" w:firstColumn="0" w:lastColumn="0" w:noHBand="0" w:noVBand="0"/>
      </w:tblPr>
      <w:tblGrid>
        <w:gridCol w:w="2579"/>
        <w:gridCol w:w="1881"/>
        <w:gridCol w:w="1634"/>
        <w:gridCol w:w="1783"/>
        <w:gridCol w:w="1781"/>
      </w:tblGrid>
      <w:tr w:rsidR="00A9288A">
        <w:trPr>
          <w:trHeight w:val="312"/>
        </w:trPr>
        <w:tc>
          <w:tcPr>
            <w:tcW w:w="2579" w:type="dxa"/>
            <w:vMerge w:val="restart"/>
          </w:tcPr>
          <w:p w:rsidR="00A9288A" w:rsidRDefault="007A4434">
            <w:pPr>
              <w:autoSpaceDE w:val="0"/>
              <w:autoSpaceDN w:val="0"/>
              <w:adjustRightInd w:val="0"/>
              <w:spacing w:before="0" w:after="0"/>
              <w:rPr>
                <w:rFonts w:eastAsia="Times New Roman" w:cs="Times New Roman"/>
                <w:kern w:val="0"/>
                <w:sz w:val="21"/>
                <w:szCs w:val="21"/>
                <w:lang w:val="zh-CN"/>
              </w:rPr>
            </w:pPr>
            <w:r>
              <w:rPr>
                <w:rFonts w:ascii="宋体" w:hAnsi="宋体" w:hint="eastAsia"/>
                <w:kern w:val="0"/>
                <w:sz w:val="21"/>
                <w:szCs w:val="21"/>
                <w:lang w:val="zh-CN"/>
              </w:rPr>
              <w:t>控股股东</w:t>
            </w:r>
          </w:p>
        </w:tc>
        <w:tc>
          <w:tcPr>
            <w:tcW w:w="3515" w:type="dxa"/>
            <w:gridSpan w:val="2"/>
            <w:vMerge w:val="restart"/>
          </w:tcPr>
          <w:p w:rsidR="00A9288A" w:rsidRDefault="007A4434">
            <w:pPr>
              <w:autoSpaceDE w:val="0"/>
              <w:autoSpaceDN w:val="0"/>
              <w:adjustRightInd w:val="0"/>
              <w:spacing w:before="0" w:after="0"/>
              <w:jc w:val="center"/>
              <w:rPr>
                <w:rFonts w:eastAsia="Times New Roman" w:cs="Times New Roman"/>
                <w:kern w:val="0"/>
                <w:sz w:val="21"/>
                <w:szCs w:val="21"/>
                <w:lang w:val="zh-CN"/>
              </w:rPr>
            </w:pPr>
            <w:r>
              <w:rPr>
                <w:rFonts w:ascii="宋体" w:hAnsi="宋体" w:hint="eastAsia"/>
                <w:kern w:val="0"/>
                <w:sz w:val="21"/>
                <w:szCs w:val="21"/>
                <w:lang w:val="zh-CN"/>
              </w:rPr>
              <w:t>持股金额</w:t>
            </w:r>
          </w:p>
        </w:tc>
        <w:tc>
          <w:tcPr>
            <w:tcW w:w="3564" w:type="dxa"/>
            <w:gridSpan w:val="2"/>
            <w:vMerge w:val="restart"/>
          </w:tcPr>
          <w:p w:rsidR="00A9288A" w:rsidRDefault="007A4434">
            <w:pPr>
              <w:autoSpaceDE w:val="0"/>
              <w:autoSpaceDN w:val="0"/>
              <w:adjustRightInd w:val="0"/>
              <w:spacing w:before="0" w:after="0"/>
              <w:jc w:val="center"/>
              <w:rPr>
                <w:rFonts w:eastAsia="Times New Roman" w:cs="Times New Roman"/>
                <w:kern w:val="0"/>
                <w:sz w:val="21"/>
                <w:szCs w:val="21"/>
                <w:lang w:val="zh-CN"/>
              </w:rPr>
            </w:pPr>
            <w:r>
              <w:rPr>
                <w:rFonts w:ascii="宋体" w:hAnsi="宋体" w:hint="eastAsia"/>
                <w:kern w:val="0"/>
                <w:sz w:val="21"/>
                <w:szCs w:val="21"/>
                <w:lang w:val="zh-CN"/>
              </w:rPr>
              <w:t>持股比例（</w:t>
            </w:r>
            <w:r>
              <w:rPr>
                <w:rFonts w:eastAsia="Times New Roman" w:cs="Times New Roman"/>
                <w:kern w:val="0"/>
                <w:sz w:val="21"/>
                <w:szCs w:val="21"/>
                <w:lang w:val="zh-CN"/>
              </w:rPr>
              <w:t>%</w:t>
            </w:r>
            <w:r>
              <w:rPr>
                <w:rFonts w:ascii="宋体" w:hAnsi="宋体" w:hint="eastAsia"/>
                <w:kern w:val="0"/>
                <w:sz w:val="21"/>
                <w:szCs w:val="21"/>
                <w:lang w:val="zh-CN"/>
              </w:rPr>
              <w:t>）</w:t>
            </w:r>
          </w:p>
        </w:tc>
      </w:tr>
      <w:tr w:rsidR="00A9288A">
        <w:trPr>
          <w:trHeight w:val="312"/>
        </w:trPr>
        <w:tc>
          <w:tcPr>
            <w:tcW w:w="2579" w:type="dxa"/>
            <w:vMerge/>
          </w:tcPr>
          <w:p w:rsidR="00A9288A" w:rsidRDefault="00A9288A">
            <w:pPr>
              <w:autoSpaceDE w:val="0"/>
              <w:autoSpaceDN w:val="0"/>
              <w:adjustRightInd w:val="0"/>
              <w:spacing w:before="0" w:after="0"/>
              <w:jc w:val="left"/>
              <w:rPr>
                <w:rFonts w:eastAsia="Times New Roman" w:cs="Times New Roman"/>
                <w:kern w:val="0"/>
                <w:lang w:val="zh-CN"/>
              </w:rPr>
            </w:pPr>
          </w:p>
        </w:tc>
        <w:tc>
          <w:tcPr>
            <w:tcW w:w="1881" w:type="dxa"/>
            <w:vMerge w:val="restart"/>
          </w:tcPr>
          <w:p w:rsidR="00A9288A" w:rsidRDefault="007A4434">
            <w:pPr>
              <w:autoSpaceDE w:val="0"/>
              <w:autoSpaceDN w:val="0"/>
              <w:adjustRightInd w:val="0"/>
              <w:spacing w:before="0" w:after="0"/>
              <w:jc w:val="center"/>
              <w:rPr>
                <w:rFonts w:eastAsia="Times New Roman" w:cs="Times New Roman"/>
                <w:kern w:val="0"/>
                <w:sz w:val="21"/>
                <w:szCs w:val="21"/>
                <w:lang w:val="zh-CN"/>
              </w:rPr>
            </w:pPr>
            <w:r>
              <w:rPr>
                <w:rFonts w:ascii="宋体" w:hAnsi="宋体" w:hint="eastAsia"/>
                <w:kern w:val="0"/>
                <w:sz w:val="21"/>
                <w:szCs w:val="21"/>
                <w:lang w:val="zh-CN"/>
              </w:rPr>
              <w:t>年末金额</w:t>
            </w:r>
          </w:p>
        </w:tc>
        <w:tc>
          <w:tcPr>
            <w:tcW w:w="1634" w:type="dxa"/>
            <w:vMerge w:val="restart"/>
          </w:tcPr>
          <w:p w:rsidR="00A9288A" w:rsidRDefault="007A4434">
            <w:pPr>
              <w:autoSpaceDE w:val="0"/>
              <w:autoSpaceDN w:val="0"/>
              <w:adjustRightInd w:val="0"/>
              <w:spacing w:before="0" w:after="0"/>
              <w:jc w:val="center"/>
              <w:rPr>
                <w:rFonts w:eastAsia="Times New Roman" w:cs="Times New Roman"/>
                <w:kern w:val="0"/>
                <w:sz w:val="21"/>
                <w:szCs w:val="21"/>
                <w:lang w:val="zh-CN"/>
              </w:rPr>
            </w:pPr>
            <w:r>
              <w:rPr>
                <w:rFonts w:ascii="宋体" w:hAnsi="宋体" w:hint="eastAsia"/>
                <w:kern w:val="0"/>
                <w:sz w:val="21"/>
                <w:szCs w:val="21"/>
                <w:lang w:val="zh-CN"/>
              </w:rPr>
              <w:t>年初金额</w:t>
            </w:r>
          </w:p>
        </w:tc>
        <w:tc>
          <w:tcPr>
            <w:tcW w:w="1783" w:type="dxa"/>
            <w:vMerge w:val="restart"/>
          </w:tcPr>
          <w:p w:rsidR="00A9288A" w:rsidRDefault="007A4434">
            <w:pPr>
              <w:autoSpaceDE w:val="0"/>
              <w:autoSpaceDN w:val="0"/>
              <w:adjustRightInd w:val="0"/>
              <w:spacing w:before="0" w:after="0"/>
              <w:jc w:val="center"/>
              <w:rPr>
                <w:rFonts w:eastAsia="Times New Roman" w:cs="Times New Roman"/>
                <w:kern w:val="0"/>
                <w:sz w:val="21"/>
                <w:szCs w:val="21"/>
                <w:lang w:val="zh-CN"/>
              </w:rPr>
            </w:pPr>
            <w:r>
              <w:rPr>
                <w:rFonts w:ascii="宋体" w:hAnsi="宋体" w:hint="eastAsia"/>
                <w:kern w:val="0"/>
                <w:sz w:val="21"/>
                <w:szCs w:val="21"/>
                <w:lang w:val="zh-CN"/>
              </w:rPr>
              <w:t>年末比例</w:t>
            </w:r>
          </w:p>
        </w:tc>
        <w:tc>
          <w:tcPr>
            <w:tcW w:w="1781" w:type="dxa"/>
            <w:vMerge w:val="restart"/>
          </w:tcPr>
          <w:p w:rsidR="00A9288A" w:rsidRDefault="007A4434">
            <w:pPr>
              <w:autoSpaceDE w:val="0"/>
              <w:autoSpaceDN w:val="0"/>
              <w:adjustRightInd w:val="0"/>
              <w:spacing w:before="0" w:after="0"/>
              <w:jc w:val="center"/>
              <w:rPr>
                <w:rFonts w:eastAsia="Times New Roman" w:cs="Times New Roman"/>
                <w:kern w:val="0"/>
                <w:sz w:val="21"/>
                <w:szCs w:val="21"/>
                <w:lang w:val="zh-CN"/>
              </w:rPr>
            </w:pPr>
            <w:r>
              <w:rPr>
                <w:rFonts w:ascii="宋体" w:hAnsi="宋体" w:hint="eastAsia"/>
                <w:kern w:val="0"/>
                <w:sz w:val="21"/>
                <w:szCs w:val="21"/>
                <w:lang w:val="zh-CN"/>
              </w:rPr>
              <w:t>年初比例</w:t>
            </w:r>
          </w:p>
        </w:tc>
      </w:tr>
      <w:tr w:rsidR="00A9288A">
        <w:trPr>
          <w:trHeight w:val="312"/>
        </w:trPr>
        <w:tc>
          <w:tcPr>
            <w:tcW w:w="2579" w:type="dxa"/>
            <w:vMerge w:val="restart"/>
          </w:tcPr>
          <w:p w:rsidR="00A9288A" w:rsidRDefault="007A4434">
            <w:pPr>
              <w:autoSpaceDE w:val="0"/>
              <w:autoSpaceDN w:val="0"/>
              <w:adjustRightInd w:val="0"/>
              <w:spacing w:before="0" w:after="0"/>
              <w:jc w:val="left"/>
              <w:rPr>
                <w:rFonts w:eastAsia="Times New Roman" w:cs="Times New Roman"/>
                <w:kern w:val="0"/>
                <w:sz w:val="21"/>
                <w:szCs w:val="21"/>
                <w:lang w:val="zh-CN"/>
              </w:rPr>
            </w:pPr>
            <w:r>
              <w:rPr>
                <w:rFonts w:ascii="宋体" w:hAnsi="宋体" w:hint="eastAsia"/>
                <w:kern w:val="0"/>
                <w:sz w:val="21"/>
                <w:szCs w:val="21"/>
                <w:lang w:val="zh-CN"/>
              </w:rPr>
              <w:t>第一大股东申万秋</w:t>
            </w:r>
          </w:p>
        </w:tc>
        <w:tc>
          <w:tcPr>
            <w:tcW w:w="1881" w:type="dxa"/>
            <w:vMerge w:val="restart"/>
          </w:tcPr>
          <w:p w:rsidR="00A9288A" w:rsidRDefault="007A4434">
            <w:pPr>
              <w:autoSpaceDE w:val="0"/>
              <w:autoSpaceDN w:val="0"/>
              <w:adjustRightInd w:val="0"/>
              <w:spacing w:before="0" w:after="0"/>
              <w:jc w:val="right"/>
              <w:rPr>
                <w:rFonts w:eastAsia="Times New Roman" w:cs="Times New Roman"/>
                <w:kern w:val="0"/>
                <w:sz w:val="21"/>
                <w:szCs w:val="21"/>
                <w:lang w:val="zh-CN"/>
              </w:rPr>
            </w:pPr>
            <w:r>
              <w:rPr>
                <w:rFonts w:eastAsia="Times New Roman" w:cs="Times New Roman"/>
                <w:kern w:val="0"/>
                <w:sz w:val="21"/>
                <w:szCs w:val="21"/>
                <w:lang w:val="zh-CN"/>
              </w:rPr>
              <w:t>7,820.32</w:t>
            </w:r>
          </w:p>
        </w:tc>
        <w:tc>
          <w:tcPr>
            <w:tcW w:w="1634" w:type="dxa"/>
            <w:vMerge w:val="restart"/>
          </w:tcPr>
          <w:p w:rsidR="00A9288A" w:rsidRDefault="007A4434">
            <w:pPr>
              <w:autoSpaceDE w:val="0"/>
              <w:autoSpaceDN w:val="0"/>
              <w:adjustRightInd w:val="0"/>
              <w:spacing w:before="0" w:after="0"/>
              <w:jc w:val="right"/>
              <w:rPr>
                <w:rFonts w:eastAsia="Times New Roman" w:cs="Times New Roman"/>
                <w:kern w:val="0"/>
                <w:sz w:val="21"/>
                <w:szCs w:val="21"/>
                <w:lang w:val="zh-CN"/>
              </w:rPr>
            </w:pPr>
            <w:r>
              <w:rPr>
                <w:rFonts w:eastAsia="Times New Roman" w:cs="Times New Roman"/>
                <w:kern w:val="0"/>
                <w:sz w:val="21"/>
                <w:szCs w:val="21"/>
                <w:lang w:val="zh-CN"/>
              </w:rPr>
              <w:t>7,820.32</w:t>
            </w:r>
          </w:p>
        </w:tc>
        <w:tc>
          <w:tcPr>
            <w:tcW w:w="1783" w:type="dxa"/>
            <w:vMerge w:val="restart"/>
          </w:tcPr>
          <w:p w:rsidR="00A9288A" w:rsidRDefault="007A4434">
            <w:pPr>
              <w:autoSpaceDE w:val="0"/>
              <w:autoSpaceDN w:val="0"/>
              <w:adjustRightInd w:val="0"/>
              <w:spacing w:before="0" w:after="0"/>
              <w:jc w:val="right"/>
              <w:rPr>
                <w:rFonts w:eastAsia="Times New Roman" w:cs="Times New Roman"/>
                <w:kern w:val="0"/>
                <w:sz w:val="21"/>
                <w:szCs w:val="21"/>
                <w:lang w:val="zh-CN"/>
              </w:rPr>
            </w:pPr>
            <w:r>
              <w:rPr>
                <w:rFonts w:eastAsia="Times New Roman" w:cs="Times New Roman"/>
                <w:kern w:val="0"/>
                <w:sz w:val="21"/>
                <w:szCs w:val="21"/>
                <w:lang w:val="zh-CN"/>
              </w:rPr>
              <w:t>21.58</w:t>
            </w:r>
          </w:p>
        </w:tc>
        <w:tc>
          <w:tcPr>
            <w:tcW w:w="1781" w:type="dxa"/>
            <w:vMerge w:val="restart"/>
          </w:tcPr>
          <w:p w:rsidR="00A9288A" w:rsidRDefault="007A4434">
            <w:pPr>
              <w:autoSpaceDE w:val="0"/>
              <w:autoSpaceDN w:val="0"/>
              <w:adjustRightInd w:val="0"/>
              <w:spacing w:before="0" w:after="0"/>
              <w:jc w:val="right"/>
              <w:rPr>
                <w:rFonts w:eastAsia="Times New Roman" w:cs="Times New Roman"/>
                <w:kern w:val="0"/>
                <w:sz w:val="21"/>
                <w:szCs w:val="21"/>
                <w:lang w:val="zh-CN"/>
              </w:rPr>
            </w:pPr>
            <w:r>
              <w:rPr>
                <w:rFonts w:eastAsia="Times New Roman" w:cs="Times New Roman"/>
                <w:kern w:val="0"/>
                <w:sz w:val="21"/>
                <w:szCs w:val="21"/>
                <w:lang w:val="zh-CN"/>
              </w:rPr>
              <w:t>21.58</w:t>
            </w:r>
          </w:p>
        </w:tc>
      </w:tr>
      <w:tr w:rsidR="00A9288A">
        <w:trPr>
          <w:trHeight w:val="312"/>
        </w:trPr>
        <w:tc>
          <w:tcPr>
            <w:tcW w:w="2579" w:type="dxa"/>
          </w:tcPr>
          <w:p w:rsidR="00A9288A" w:rsidRDefault="007A4434">
            <w:pPr>
              <w:autoSpaceDE w:val="0"/>
              <w:autoSpaceDN w:val="0"/>
              <w:adjustRightInd w:val="0"/>
              <w:spacing w:before="0" w:after="0"/>
              <w:jc w:val="left"/>
              <w:rPr>
                <w:rFonts w:eastAsia="Times New Roman" w:cs="Times New Roman"/>
                <w:kern w:val="0"/>
                <w:sz w:val="21"/>
                <w:szCs w:val="21"/>
                <w:lang w:val="zh-CN"/>
              </w:rPr>
            </w:pPr>
            <w:r>
              <w:rPr>
                <w:rFonts w:ascii="宋体" w:hAnsi="宋体" w:hint="eastAsia"/>
                <w:kern w:val="0"/>
                <w:sz w:val="21"/>
                <w:szCs w:val="21"/>
                <w:lang w:val="zh-CN"/>
              </w:rPr>
              <w:t>合计</w:t>
            </w:r>
          </w:p>
        </w:tc>
        <w:tc>
          <w:tcPr>
            <w:tcW w:w="1881" w:type="dxa"/>
          </w:tcPr>
          <w:p w:rsidR="00A9288A" w:rsidRDefault="007A4434">
            <w:pPr>
              <w:autoSpaceDE w:val="0"/>
              <w:autoSpaceDN w:val="0"/>
              <w:adjustRightInd w:val="0"/>
              <w:spacing w:before="0" w:after="0"/>
              <w:jc w:val="right"/>
              <w:rPr>
                <w:rFonts w:eastAsia="Times New Roman" w:cs="Times New Roman"/>
                <w:kern w:val="0"/>
                <w:sz w:val="21"/>
                <w:szCs w:val="21"/>
                <w:lang w:val="zh-CN"/>
              </w:rPr>
            </w:pPr>
            <w:r>
              <w:rPr>
                <w:rFonts w:eastAsia="Times New Roman" w:cs="Times New Roman"/>
                <w:kern w:val="0"/>
                <w:sz w:val="21"/>
                <w:szCs w:val="21"/>
                <w:lang w:val="zh-CN"/>
              </w:rPr>
              <w:t>7,820.32</w:t>
            </w:r>
          </w:p>
        </w:tc>
        <w:tc>
          <w:tcPr>
            <w:tcW w:w="1634" w:type="dxa"/>
          </w:tcPr>
          <w:p w:rsidR="00A9288A" w:rsidRDefault="007A4434">
            <w:pPr>
              <w:autoSpaceDE w:val="0"/>
              <w:autoSpaceDN w:val="0"/>
              <w:adjustRightInd w:val="0"/>
              <w:spacing w:before="0" w:after="0"/>
              <w:jc w:val="right"/>
              <w:rPr>
                <w:rFonts w:eastAsia="Times New Roman" w:cs="Times New Roman"/>
                <w:kern w:val="0"/>
                <w:sz w:val="21"/>
                <w:szCs w:val="21"/>
                <w:lang w:val="zh-CN"/>
              </w:rPr>
            </w:pPr>
            <w:r>
              <w:rPr>
                <w:rFonts w:eastAsia="Times New Roman" w:cs="Times New Roman"/>
                <w:kern w:val="0"/>
                <w:sz w:val="21"/>
                <w:szCs w:val="21"/>
                <w:lang w:val="zh-CN"/>
              </w:rPr>
              <w:t>7,820.32</w:t>
            </w:r>
          </w:p>
        </w:tc>
        <w:tc>
          <w:tcPr>
            <w:tcW w:w="1783" w:type="dxa"/>
          </w:tcPr>
          <w:p w:rsidR="00A9288A" w:rsidRDefault="007A4434">
            <w:pPr>
              <w:autoSpaceDE w:val="0"/>
              <w:autoSpaceDN w:val="0"/>
              <w:adjustRightInd w:val="0"/>
              <w:spacing w:before="0" w:after="0"/>
              <w:jc w:val="right"/>
              <w:rPr>
                <w:rFonts w:eastAsia="Times New Roman" w:cs="Times New Roman"/>
                <w:kern w:val="0"/>
                <w:sz w:val="21"/>
                <w:szCs w:val="21"/>
                <w:lang w:val="zh-CN"/>
              </w:rPr>
            </w:pPr>
            <w:r>
              <w:rPr>
                <w:rFonts w:eastAsia="Times New Roman" w:cs="Times New Roman"/>
                <w:kern w:val="0"/>
                <w:sz w:val="21"/>
                <w:szCs w:val="21"/>
                <w:lang w:val="zh-CN"/>
              </w:rPr>
              <w:t>21.58</w:t>
            </w:r>
          </w:p>
        </w:tc>
        <w:tc>
          <w:tcPr>
            <w:tcW w:w="1781" w:type="dxa"/>
          </w:tcPr>
          <w:p w:rsidR="00A9288A" w:rsidRDefault="007A4434">
            <w:pPr>
              <w:autoSpaceDE w:val="0"/>
              <w:autoSpaceDN w:val="0"/>
              <w:adjustRightInd w:val="0"/>
              <w:spacing w:before="0" w:after="0"/>
              <w:jc w:val="right"/>
              <w:rPr>
                <w:rFonts w:eastAsia="Times New Roman" w:cs="Times New Roman"/>
                <w:kern w:val="0"/>
                <w:sz w:val="21"/>
                <w:szCs w:val="21"/>
                <w:lang w:val="zh-CN"/>
              </w:rPr>
            </w:pPr>
            <w:r>
              <w:rPr>
                <w:rFonts w:eastAsia="Times New Roman" w:cs="Times New Roman"/>
                <w:kern w:val="0"/>
                <w:sz w:val="21"/>
                <w:szCs w:val="21"/>
                <w:lang w:val="zh-CN"/>
              </w:rPr>
              <w:t>21.58</w:t>
            </w:r>
          </w:p>
        </w:tc>
      </w:tr>
    </w:tbl>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jc w:val="left"/>
        <w:rPr>
          <w:rFonts w:eastAsia="Times New Roman" w:cs="Times New Roman"/>
        </w:rPr>
      </w:pPr>
      <w:r>
        <w:rPr>
          <w:rFonts w:hint="eastAsia"/>
        </w:rPr>
        <w:t>本企业最终控制方是</w:t>
      </w:r>
      <w:r w:rsidR="009955B3">
        <w:rPr>
          <w:rFonts w:hint="eastAsia"/>
        </w:rPr>
        <w:t>申万秋</w:t>
      </w:r>
      <w:r>
        <w:rPr>
          <w:rFonts w:hint="eastAsia"/>
        </w:rPr>
        <w:t>。</w:t>
      </w:r>
    </w:p>
    <w:p w:rsidR="00A9288A" w:rsidRDefault="007A4434">
      <w:pPr>
        <w:pStyle w:val="Section"/>
        <w:outlineLvl w:val="2"/>
        <w:rPr>
          <w:rFonts w:eastAsia="Times New Roman" w:cs="Times New Roman"/>
        </w:rPr>
      </w:pPr>
      <w:r>
        <w:rPr>
          <w:rFonts w:cs="Times New Roman"/>
        </w:rPr>
        <w:t>2</w:t>
      </w:r>
      <w:r>
        <w:rPr>
          <w:rFonts w:hint="eastAsia"/>
        </w:rPr>
        <w:t>、本企业的子公司情况</w:t>
      </w:r>
    </w:p>
    <w:p w:rsidR="00A9288A" w:rsidRDefault="007A4434">
      <w:pPr>
        <w:jc w:val="left"/>
        <w:rPr>
          <w:rFonts w:eastAsia="Times New Roman" w:cs="Times New Roman"/>
        </w:rPr>
      </w:pPr>
      <w:r>
        <w:rPr>
          <w:rFonts w:hint="eastAsia"/>
        </w:rPr>
        <w:t>本企业子公司的情况详见附注。</w:t>
      </w:r>
    </w:p>
    <w:p w:rsidR="00A9288A" w:rsidRDefault="007A4434">
      <w:pPr>
        <w:pStyle w:val="Section"/>
        <w:outlineLvl w:val="2"/>
        <w:rPr>
          <w:rFonts w:eastAsia="Times New Roman" w:cs="Times New Roman"/>
        </w:rPr>
      </w:pPr>
      <w:r>
        <w:rPr>
          <w:rFonts w:cs="Times New Roman"/>
        </w:rPr>
        <w:t>3</w:t>
      </w:r>
      <w:r>
        <w:rPr>
          <w:rFonts w:hint="eastAsia"/>
        </w:rPr>
        <w:t>、本企业合营和联营企业情况</w:t>
      </w:r>
    </w:p>
    <w:p w:rsidR="00A9288A" w:rsidRDefault="007A4434">
      <w:pPr>
        <w:jc w:val="left"/>
        <w:rPr>
          <w:rFonts w:eastAsia="Times New Roman" w:cs="Times New Roman"/>
        </w:rPr>
      </w:pPr>
      <w:r>
        <w:rPr>
          <w:rFonts w:hint="eastAsia"/>
        </w:rPr>
        <w:t>本企业重要的合营或联营企业详见附注。</w:t>
      </w:r>
    </w:p>
    <w:p w:rsidR="00A9288A" w:rsidRDefault="007A4434">
      <w:pPr>
        <w:pStyle w:val="Section"/>
        <w:outlineLvl w:val="2"/>
        <w:rPr>
          <w:rFonts w:eastAsia="Times New Roman" w:cs="Times New Roman"/>
        </w:rPr>
      </w:pPr>
      <w:r>
        <w:rPr>
          <w:rFonts w:cs="Times New Roman"/>
        </w:rPr>
        <w:t>4</w:t>
      </w:r>
      <w:r>
        <w:rPr>
          <w:rFonts w:hint="eastAsia"/>
        </w:rPr>
        <w:t>、其他关联方情况</w:t>
      </w:r>
    </w:p>
    <w:tbl>
      <w:tblPr>
        <w:tblW w:w="0" w:type="auto"/>
        <w:tblInd w:w="-5" w:type="dxa"/>
        <w:tblLayout w:type="fixed"/>
        <w:tblCellMar>
          <w:left w:w="28" w:type="dxa"/>
          <w:right w:w="28" w:type="dxa"/>
        </w:tblCellMar>
        <w:tblLook w:val="0000" w:firstRow="0" w:lastRow="0" w:firstColumn="0" w:lastColumn="0" w:noHBand="0" w:noVBand="0"/>
      </w:tblPr>
      <w:tblGrid>
        <w:gridCol w:w="4782"/>
        <w:gridCol w:w="4786"/>
      </w:tblGrid>
      <w:tr w:rsidR="00A9288A">
        <w:tc>
          <w:tcPr>
            <w:tcW w:w="478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其他关联方名称</w:t>
            </w:r>
          </w:p>
        </w:tc>
        <w:tc>
          <w:tcPr>
            <w:tcW w:w="478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其他关联方与本企业关系</w:t>
            </w:r>
          </w:p>
        </w:tc>
      </w:tr>
      <w:tr w:rsidR="00A9288A">
        <w:tc>
          <w:tcPr>
            <w:tcW w:w="478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美国劳雷工业有限公司</w:t>
            </w:r>
          </w:p>
        </w:tc>
        <w:tc>
          <w:tcPr>
            <w:tcW w:w="478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方励控制的企业</w:t>
            </w:r>
          </w:p>
        </w:tc>
      </w:tr>
      <w:tr w:rsidR="00A9288A">
        <w:tc>
          <w:tcPr>
            <w:tcW w:w="478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上海劳雷仪器系统有限公司</w:t>
            </w:r>
          </w:p>
        </w:tc>
        <w:tc>
          <w:tcPr>
            <w:tcW w:w="478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方励控制的企业</w:t>
            </w:r>
          </w:p>
        </w:tc>
      </w:tr>
      <w:tr w:rsidR="00A9288A">
        <w:tc>
          <w:tcPr>
            <w:tcW w:w="478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lastRenderedPageBreak/>
              <w:t>北京劳雷物理探测仪器有限公司</w:t>
            </w:r>
          </w:p>
        </w:tc>
        <w:tc>
          <w:tcPr>
            <w:tcW w:w="478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方励控制的企业</w:t>
            </w:r>
          </w:p>
        </w:tc>
      </w:tr>
      <w:tr w:rsidR="00A9288A">
        <w:tc>
          <w:tcPr>
            <w:tcW w:w="478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北京南风科创应用技术有限公司</w:t>
            </w:r>
          </w:p>
        </w:tc>
        <w:tc>
          <w:tcPr>
            <w:tcW w:w="478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方励直系亲属控制的企业</w:t>
            </w:r>
          </w:p>
        </w:tc>
      </w:tr>
      <w:tr w:rsidR="00A9288A">
        <w:tc>
          <w:tcPr>
            <w:tcW w:w="478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三亚海兰寰宇海洋信息科技有限公司</w:t>
            </w:r>
          </w:p>
        </w:tc>
        <w:tc>
          <w:tcPr>
            <w:tcW w:w="478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本公司间接参股公司</w:t>
            </w:r>
          </w:p>
        </w:tc>
      </w:tr>
      <w:tr w:rsidR="00A9288A">
        <w:tc>
          <w:tcPr>
            <w:tcW w:w="478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成都奧塔科技有限公司</w:t>
            </w:r>
          </w:p>
        </w:tc>
        <w:tc>
          <w:tcPr>
            <w:tcW w:w="478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方励直系亲属控制的企业</w:t>
            </w:r>
          </w:p>
        </w:tc>
      </w:tr>
      <w:tr w:rsidR="00A9288A">
        <w:tc>
          <w:tcPr>
            <w:tcW w:w="478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劳雷地球物理系统有限公司</w:t>
            </w:r>
          </w:p>
        </w:tc>
        <w:tc>
          <w:tcPr>
            <w:tcW w:w="478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方励控制的企业</w:t>
            </w:r>
          </w:p>
        </w:tc>
      </w:tr>
      <w:tr w:rsidR="00A9288A">
        <w:tc>
          <w:tcPr>
            <w:tcW w:w="478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北京方位智能系统技术有限公司</w:t>
            </w:r>
          </w:p>
        </w:tc>
        <w:tc>
          <w:tcPr>
            <w:tcW w:w="478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魏法军投资的公司</w:t>
            </w:r>
          </w:p>
        </w:tc>
      </w:tr>
      <w:tr w:rsidR="00A9288A">
        <w:tc>
          <w:tcPr>
            <w:tcW w:w="478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OceanWorks International Corporation</w:t>
            </w:r>
          </w:p>
        </w:tc>
        <w:tc>
          <w:tcPr>
            <w:tcW w:w="478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申万秋曾任董事长的企业</w:t>
            </w:r>
          </w:p>
        </w:tc>
      </w:tr>
      <w:tr w:rsidR="00A9288A">
        <w:tc>
          <w:tcPr>
            <w:tcW w:w="478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香港海兰信海洋工程技术开发有限公司</w:t>
            </w:r>
          </w:p>
        </w:tc>
        <w:tc>
          <w:tcPr>
            <w:tcW w:w="478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本公司联营企业之全资子公司</w:t>
            </w:r>
          </w:p>
        </w:tc>
      </w:tr>
    </w:tbl>
    <w:p w:rsidR="00A9288A" w:rsidRDefault="007A4434">
      <w:pPr>
        <w:jc w:val="left"/>
        <w:rPr>
          <w:rFonts w:eastAsia="Times New Roman" w:cs="Times New Roman"/>
        </w:rPr>
      </w:pPr>
      <w:r>
        <w:rPr>
          <w:rFonts w:hint="eastAsia"/>
        </w:rPr>
        <w:t>其他说明</w:t>
      </w:r>
    </w:p>
    <w:p w:rsidR="00A9288A" w:rsidRDefault="007A4434">
      <w:pPr>
        <w:autoSpaceDE w:val="0"/>
        <w:autoSpaceDN w:val="0"/>
        <w:adjustRightInd w:val="0"/>
        <w:spacing w:before="0" w:after="120"/>
        <w:ind w:firstLine="420"/>
        <w:rPr>
          <w:rFonts w:eastAsia="Times New Roman" w:cs="Times New Roman"/>
          <w:kern w:val="0"/>
          <w:sz w:val="21"/>
          <w:szCs w:val="21"/>
        </w:rPr>
      </w:pPr>
      <w:r>
        <w:rPr>
          <w:rFonts w:ascii="宋体" w:hAnsi="宋体" w:hint="eastAsia"/>
          <w:kern w:val="0"/>
          <w:sz w:val="21"/>
          <w:szCs w:val="21"/>
          <w:lang w:val="zh-CN"/>
        </w:rPr>
        <w:t>注</w:t>
      </w:r>
      <w:r>
        <w:rPr>
          <w:rFonts w:ascii="宋体" w:hAnsi="宋体" w:hint="eastAsia"/>
          <w:kern w:val="0"/>
          <w:sz w:val="21"/>
          <w:szCs w:val="21"/>
        </w:rPr>
        <w:t>：</w:t>
      </w:r>
      <w:r>
        <w:rPr>
          <w:rFonts w:ascii="宋体" w:hAnsi="宋体" w:hint="eastAsia"/>
          <w:kern w:val="0"/>
          <w:sz w:val="21"/>
          <w:szCs w:val="21"/>
          <w:lang w:val="zh-CN"/>
        </w:rPr>
        <w:t>方励系劳雷海洋系统有限公司、</w:t>
      </w:r>
      <w:r>
        <w:rPr>
          <w:rFonts w:eastAsia="Times New Roman" w:cs="Times New Roman"/>
          <w:kern w:val="0"/>
          <w:sz w:val="21"/>
          <w:szCs w:val="21"/>
          <w:lang w:val="en-GB"/>
        </w:rPr>
        <w:t>Summerview Company Limited</w:t>
      </w:r>
      <w:r>
        <w:rPr>
          <w:rFonts w:ascii="宋体" w:hAnsi="宋体" w:hint="eastAsia"/>
          <w:kern w:val="0"/>
          <w:sz w:val="21"/>
          <w:szCs w:val="21"/>
        </w:rPr>
        <w:t>（</w:t>
      </w:r>
      <w:r>
        <w:rPr>
          <w:rFonts w:ascii="宋体" w:hAnsi="宋体" w:hint="eastAsia"/>
          <w:kern w:val="0"/>
          <w:sz w:val="21"/>
          <w:szCs w:val="21"/>
          <w:lang w:val="zh-CN"/>
        </w:rPr>
        <w:t>以下劳雷海洋系统有限公司、</w:t>
      </w:r>
      <w:r>
        <w:rPr>
          <w:rFonts w:eastAsia="Times New Roman" w:cs="Times New Roman"/>
          <w:kern w:val="0"/>
          <w:sz w:val="21"/>
          <w:szCs w:val="21"/>
          <w:lang w:val="en-GB"/>
        </w:rPr>
        <w:t>Summerview Company Limited</w:t>
      </w:r>
      <w:r>
        <w:rPr>
          <w:rFonts w:ascii="宋体" w:hAnsi="宋体" w:hint="eastAsia"/>
          <w:kern w:val="0"/>
          <w:sz w:val="21"/>
          <w:szCs w:val="21"/>
          <w:lang w:val="zh-CN"/>
        </w:rPr>
        <w:t>合称为</w:t>
      </w:r>
      <w:r>
        <w:rPr>
          <w:rFonts w:eastAsia="Times New Roman" w:cs="Times New Roman"/>
          <w:kern w:val="0"/>
          <w:sz w:val="21"/>
          <w:szCs w:val="21"/>
          <w:lang w:val="en-GB"/>
        </w:rPr>
        <w:t>“</w:t>
      </w:r>
      <w:r>
        <w:rPr>
          <w:rFonts w:ascii="宋体" w:hAnsi="宋体" w:hint="eastAsia"/>
          <w:kern w:val="0"/>
          <w:sz w:val="21"/>
          <w:szCs w:val="21"/>
          <w:lang w:val="zh-CN"/>
        </w:rPr>
        <w:t>劳雷产业</w:t>
      </w:r>
      <w:r>
        <w:rPr>
          <w:rFonts w:eastAsia="Times New Roman" w:cs="Times New Roman"/>
          <w:kern w:val="0"/>
          <w:sz w:val="21"/>
          <w:szCs w:val="21"/>
          <w:lang w:val="en-GB"/>
        </w:rPr>
        <w:t>”</w:t>
      </w:r>
      <w:r>
        <w:rPr>
          <w:rFonts w:ascii="宋体" w:hAnsi="宋体" w:hint="eastAsia"/>
          <w:kern w:val="0"/>
          <w:sz w:val="21"/>
          <w:szCs w:val="21"/>
        </w:rPr>
        <w:t>）</w:t>
      </w:r>
      <w:r>
        <w:rPr>
          <w:rFonts w:ascii="宋体" w:hAnsi="宋体" w:hint="eastAsia"/>
          <w:kern w:val="0"/>
          <w:sz w:val="21"/>
          <w:szCs w:val="21"/>
          <w:lang w:val="zh-CN"/>
        </w:rPr>
        <w:t>原少数股东</w:t>
      </w:r>
      <w:r>
        <w:rPr>
          <w:rFonts w:ascii="宋体" w:hAnsi="宋体" w:hint="eastAsia"/>
          <w:kern w:val="0"/>
          <w:sz w:val="21"/>
          <w:szCs w:val="21"/>
        </w:rPr>
        <w:t>，</w:t>
      </w:r>
      <w:r>
        <w:rPr>
          <w:rFonts w:eastAsia="Times New Roman" w:cs="Times New Roman"/>
          <w:kern w:val="0"/>
          <w:sz w:val="21"/>
          <w:szCs w:val="21"/>
          <w:lang w:val="en-GB"/>
        </w:rPr>
        <w:t>2017</w:t>
      </w:r>
      <w:r>
        <w:rPr>
          <w:rFonts w:ascii="宋体" w:hAnsi="宋体" w:hint="eastAsia"/>
          <w:kern w:val="0"/>
          <w:sz w:val="21"/>
          <w:szCs w:val="21"/>
          <w:lang w:val="zh-CN"/>
        </w:rPr>
        <w:t>年任劳雷产业总经理。</w:t>
      </w:r>
    </w:p>
    <w:p w:rsidR="00A9288A" w:rsidRDefault="00A9288A">
      <w:pPr>
        <w:autoSpaceDE w:val="0"/>
        <w:autoSpaceDN w:val="0"/>
        <w:adjustRightInd w:val="0"/>
        <w:spacing w:before="0" w:after="0"/>
        <w:jc w:val="left"/>
        <w:rPr>
          <w:rFonts w:eastAsia="Times New Roman" w:cs="Times New Roman"/>
          <w:kern w:val="0"/>
        </w:rPr>
      </w:pPr>
    </w:p>
    <w:p w:rsidR="00A9288A" w:rsidRDefault="007A4434">
      <w:pPr>
        <w:pStyle w:val="Section"/>
        <w:outlineLvl w:val="2"/>
        <w:rPr>
          <w:rFonts w:eastAsia="Times New Roman" w:cs="Times New Roman"/>
        </w:rPr>
      </w:pPr>
      <w:r>
        <w:rPr>
          <w:rFonts w:cs="Times New Roman"/>
        </w:rPr>
        <w:t>5</w:t>
      </w:r>
      <w:r>
        <w:rPr>
          <w:rFonts w:hint="eastAsia"/>
        </w:rPr>
        <w:t>、关联交易情况</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）购销商品、提供和接受劳务的关联交易</w:t>
      </w:r>
    </w:p>
    <w:p w:rsidR="00A9288A" w:rsidRDefault="007A4434">
      <w:pPr>
        <w:jc w:val="left"/>
        <w:rPr>
          <w:rFonts w:eastAsia="Times New Roman" w:cs="Times New Roman"/>
        </w:rPr>
      </w:pPr>
      <w:r>
        <w:rPr>
          <w:rFonts w:hint="eastAsia"/>
        </w:rPr>
        <w:t>采购商品</w:t>
      </w:r>
      <w:r>
        <w:rPr>
          <w:rFonts w:cs="Times New Roman"/>
        </w:rPr>
        <w:t>/</w:t>
      </w:r>
      <w:r>
        <w:rPr>
          <w:rFonts w:hint="eastAsia"/>
        </w:rPr>
        <w:t>接受劳务情况表</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540"/>
        <w:gridCol w:w="1454"/>
        <w:gridCol w:w="1454"/>
        <w:gridCol w:w="1707"/>
        <w:gridCol w:w="1707"/>
        <w:gridCol w:w="1707"/>
      </w:tblGrid>
      <w:tr w:rsidR="00A9288A">
        <w:tc>
          <w:tcPr>
            <w:tcW w:w="154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关联方</w:t>
            </w:r>
          </w:p>
        </w:tc>
        <w:tc>
          <w:tcPr>
            <w:tcW w:w="145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关联交易内容</w:t>
            </w:r>
          </w:p>
        </w:tc>
        <w:tc>
          <w:tcPr>
            <w:tcW w:w="145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c>
          <w:tcPr>
            <w:tcW w:w="170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获批的交易额度</w:t>
            </w:r>
          </w:p>
        </w:tc>
        <w:tc>
          <w:tcPr>
            <w:tcW w:w="170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是否超过交易额度</w:t>
            </w:r>
          </w:p>
        </w:tc>
        <w:tc>
          <w:tcPr>
            <w:tcW w:w="170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上期发生额</w:t>
            </w:r>
          </w:p>
        </w:tc>
      </w:tr>
      <w:tr w:rsidR="00A9288A">
        <w:tc>
          <w:tcPr>
            <w:tcW w:w="154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北京南风科创应用技术有限公司</w:t>
            </w:r>
          </w:p>
        </w:tc>
        <w:tc>
          <w:tcPr>
            <w:tcW w:w="145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接受劳务</w:t>
            </w:r>
          </w:p>
        </w:tc>
        <w:tc>
          <w:tcPr>
            <w:tcW w:w="145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647,289.77</w:t>
            </w:r>
          </w:p>
        </w:tc>
        <w:tc>
          <w:tcPr>
            <w:tcW w:w="17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7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17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6,156,144.90</w:t>
            </w:r>
          </w:p>
        </w:tc>
      </w:tr>
      <w:tr w:rsidR="00A9288A">
        <w:tc>
          <w:tcPr>
            <w:tcW w:w="154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美国劳雷工业有限公司</w:t>
            </w:r>
          </w:p>
        </w:tc>
        <w:tc>
          <w:tcPr>
            <w:tcW w:w="145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接受劳务</w:t>
            </w:r>
          </w:p>
        </w:tc>
        <w:tc>
          <w:tcPr>
            <w:tcW w:w="145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69,501.29</w:t>
            </w:r>
          </w:p>
        </w:tc>
        <w:tc>
          <w:tcPr>
            <w:tcW w:w="17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7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17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54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北京劳雷物理探测仪器有限公司</w:t>
            </w:r>
          </w:p>
        </w:tc>
        <w:tc>
          <w:tcPr>
            <w:tcW w:w="145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采购商品</w:t>
            </w:r>
          </w:p>
        </w:tc>
        <w:tc>
          <w:tcPr>
            <w:tcW w:w="145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7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17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17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2,188,034.19</w:t>
            </w:r>
          </w:p>
        </w:tc>
      </w:tr>
      <w:tr w:rsidR="00A9288A">
        <w:tc>
          <w:tcPr>
            <w:tcW w:w="154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北京劳雷物理探测仪器有限公司</w:t>
            </w:r>
          </w:p>
        </w:tc>
        <w:tc>
          <w:tcPr>
            <w:tcW w:w="145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接受劳务</w:t>
            </w:r>
          </w:p>
        </w:tc>
        <w:tc>
          <w:tcPr>
            <w:tcW w:w="145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152,991.16</w:t>
            </w:r>
          </w:p>
        </w:tc>
        <w:tc>
          <w:tcPr>
            <w:tcW w:w="17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7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17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r w:rsidR="00A9288A">
        <w:tc>
          <w:tcPr>
            <w:tcW w:w="154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劳雷地球物理系统有限公司</w:t>
            </w:r>
          </w:p>
        </w:tc>
        <w:tc>
          <w:tcPr>
            <w:tcW w:w="145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接受劳务</w:t>
            </w:r>
          </w:p>
        </w:tc>
        <w:tc>
          <w:tcPr>
            <w:tcW w:w="145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121,755.60</w:t>
            </w:r>
          </w:p>
        </w:tc>
        <w:tc>
          <w:tcPr>
            <w:tcW w:w="17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7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c>
          <w:tcPr>
            <w:tcW w:w="170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r>
    </w:tbl>
    <w:p w:rsidR="00A9288A" w:rsidRDefault="007A4434">
      <w:pPr>
        <w:jc w:val="left"/>
        <w:rPr>
          <w:rFonts w:eastAsia="Times New Roman" w:cs="Times New Roman"/>
        </w:rPr>
      </w:pPr>
      <w:r>
        <w:rPr>
          <w:rFonts w:hint="eastAsia"/>
        </w:rPr>
        <w:t>出售商品</w:t>
      </w:r>
      <w:r>
        <w:rPr>
          <w:rFonts w:cs="Times New Roman"/>
        </w:rPr>
        <w:t>/</w:t>
      </w:r>
      <w:r>
        <w:rPr>
          <w:rFonts w:hint="eastAsia"/>
        </w:rPr>
        <w:t>提供劳务情况表</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2397"/>
        <w:gridCol w:w="2259"/>
        <w:gridCol w:w="2259"/>
        <w:gridCol w:w="2653"/>
      </w:tblGrid>
      <w:tr w:rsidR="00A9288A">
        <w:tc>
          <w:tcPr>
            <w:tcW w:w="239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关联方</w:t>
            </w:r>
          </w:p>
        </w:tc>
        <w:tc>
          <w:tcPr>
            <w:tcW w:w="225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关联交易内容</w:t>
            </w:r>
          </w:p>
        </w:tc>
        <w:tc>
          <w:tcPr>
            <w:tcW w:w="225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c>
          <w:tcPr>
            <w:tcW w:w="265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上期发生额</w:t>
            </w:r>
          </w:p>
        </w:tc>
      </w:tr>
      <w:tr w:rsidR="00A9288A">
        <w:tc>
          <w:tcPr>
            <w:tcW w:w="23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三亚海兰寰宇海洋信息科技有限公司</w:t>
            </w:r>
          </w:p>
        </w:tc>
        <w:tc>
          <w:tcPr>
            <w:tcW w:w="225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销售商品</w:t>
            </w:r>
          </w:p>
        </w:tc>
        <w:tc>
          <w:tcPr>
            <w:tcW w:w="225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56,751,400.15</w:t>
            </w:r>
          </w:p>
        </w:tc>
        <w:tc>
          <w:tcPr>
            <w:tcW w:w="265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44,444,444.71</w:t>
            </w:r>
          </w:p>
        </w:tc>
      </w:tr>
      <w:tr w:rsidR="00A9288A">
        <w:tc>
          <w:tcPr>
            <w:tcW w:w="23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北京南风科创应用技术有限公司</w:t>
            </w:r>
          </w:p>
        </w:tc>
        <w:tc>
          <w:tcPr>
            <w:tcW w:w="225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销售商品</w:t>
            </w:r>
          </w:p>
        </w:tc>
        <w:tc>
          <w:tcPr>
            <w:tcW w:w="225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1,265,614.07</w:t>
            </w:r>
          </w:p>
        </w:tc>
        <w:tc>
          <w:tcPr>
            <w:tcW w:w="265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23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北京南风科创应用技术有限公</w:t>
            </w:r>
            <w:r>
              <w:rPr>
                <w:rFonts w:hint="eastAsia"/>
              </w:rPr>
              <w:lastRenderedPageBreak/>
              <w:t>司</w:t>
            </w:r>
          </w:p>
        </w:tc>
        <w:tc>
          <w:tcPr>
            <w:tcW w:w="225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lastRenderedPageBreak/>
              <w:t>提供劳务</w:t>
            </w:r>
          </w:p>
        </w:tc>
        <w:tc>
          <w:tcPr>
            <w:tcW w:w="225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86,065.18</w:t>
            </w:r>
          </w:p>
        </w:tc>
        <w:tc>
          <w:tcPr>
            <w:tcW w:w="265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1,741,662.23</w:t>
            </w:r>
          </w:p>
        </w:tc>
      </w:tr>
      <w:tr w:rsidR="00A9288A">
        <w:tc>
          <w:tcPr>
            <w:tcW w:w="23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lastRenderedPageBreak/>
              <w:t>北京劳雷物理探测仪器有限公司</w:t>
            </w:r>
          </w:p>
        </w:tc>
        <w:tc>
          <w:tcPr>
            <w:tcW w:w="225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提供劳务</w:t>
            </w:r>
          </w:p>
        </w:tc>
        <w:tc>
          <w:tcPr>
            <w:tcW w:w="225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27,553.22</w:t>
            </w:r>
          </w:p>
        </w:tc>
        <w:tc>
          <w:tcPr>
            <w:tcW w:w="265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542,420.00</w:t>
            </w:r>
          </w:p>
        </w:tc>
      </w:tr>
      <w:tr w:rsidR="00A9288A">
        <w:tc>
          <w:tcPr>
            <w:tcW w:w="23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成都奥塔科技有限公司</w:t>
            </w:r>
          </w:p>
        </w:tc>
        <w:tc>
          <w:tcPr>
            <w:tcW w:w="225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销售商品</w:t>
            </w:r>
          </w:p>
        </w:tc>
        <w:tc>
          <w:tcPr>
            <w:tcW w:w="225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2,619,730.74</w:t>
            </w:r>
          </w:p>
        </w:tc>
        <w:tc>
          <w:tcPr>
            <w:tcW w:w="265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23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浙江海兰信海洋信息科技有限公司</w:t>
            </w:r>
          </w:p>
        </w:tc>
        <w:tc>
          <w:tcPr>
            <w:tcW w:w="225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资金拆借</w:t>
            </w:r>
          </w:p>
        </w:tc>
        <w:tc>
          <w:tcPr>
            <w:tcW w:w="225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15,000.00</w:t>
            </w:r>
          </w:p>
        </w:tc>
        <w:tc>
          <w:tcPr>
            <w:tcW w:w="265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239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美国劳雷工业有限公司</w:t>
            </w:r>
          </w:p>
        </w:tc>
        <w:tc>
          <w:tcPr>
            <w:tcW w:w="225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销售商品</w:t>
            </w:r>
          </w:p>
        </w:tc>
        <w:tc>
          <w:tcPr>
            <w:tcW w:w="225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8,620.69</w:t>
            </w:r>
          </w:p>
        </w:tc>
        <w:tc>
          <w:tcPr>
            <w:tcW w:w="265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350,009.05</w:t>
            </w:r>
          </w:p>
        </w:tc>
      </w:tr>
    </w:tbl>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）关联受托管理</w:t>
      </w:r>
      <w:r>
        <w:rPr>
          <w:rFonts w:cs="Times New Roman"/>
        </w:rPr>
        <w:t>/</w:t>
      </w:r>
      <w:r>
        <w:rPr>
          <w:rFonts w:hint="eastAsia"/>
        </w:rPr>
        <w:t>承包及委托管理</w:t>
      </w:r>
      <w:r>
        <w:rPr>
          <w:rFonts w:cs="Times New Roman"/>
        </w:rPr>
        <w:t>/</w:t>
      </w:r>
      <w:r>
        <w:rPr>
          <w:rFonts w:hint="eastAsia"/>
        </w:rPr>
        <w:t>出包情况</w:t>
      </w:r>
    </w:p>
    <w:p w:rsidR="00A9288A" w:rsidRDefault="007A4434">
      <w:pPr>
        <w:pStyle w:val="Section"/>
        <w:outlineLvl w:val="3"/>
        <w:rPr>
          <w:rFonts w:eastAsia="Times New Roman" w:cs="Times New Roman"/>
        </w:rPr>
      </w:pPr>
      <w:r>
        <w:rPr>
          <w:rFonts w:hint="eastAsia"/>
        </w:rPr>
        <w:t>（</w:t>
      </w:r>
      <w:r>
        <w:rPr>
          <w:rFonts w:cs="Times New Roman"/>
        </w:rPr>
        <w:t>3</w:t>
      </w:r>
      <w:r>
        <w:rPr>
          <w:rFonts w:hint="eastAsia"/>
        </w:rPr>
        <w:t>）关联租赁情况</w:t>
      </w:r>
    </w:p>
    <w:p w:rsidR="00A9288A" w:rsidRDefault="007A4434">
      <w:pPr>
        <w:pStyle w:val="Section"/>
        <w:outlineLvl w:val="3"/>
        <w:rPr>
          <w:rFonts w:eastAsia="Times New Roman" w:cs="Times New Roman"/>
        </w:rPr>
      </w:pPr>
      <w:r>
        <w:rPr>
          <w:rFonts w:hint="eastAsia"/>
        </w:rPr>
        <w:t>（</w:t>
      </w:r>
      <w:r>
        <w:rPr>
          <w:rFonts w:cs="Times New Roman"/>
        </w:rPr>
        <w:t>4</w:t>
      </w:r>
      <w:r>
        <w:rPr>
          <w:rFonts w:hint="eastAsia"/>
        </w:rPr>
        <w:t>）关联担保情况</w:t>
      </w:r>
    </w:p>
    <w:p w:rsidR="00A9288A" w:rsidRDefault="007A4434">
      <w:pPr>
        <w:jc w:val="left"/>
        <w:rPr>
          <w:rFonts w:eastAsia="Times New Roman" w:cs="Times New Roman"/>
        </w:rPr>
      </w:pPr>
      <w:r>
        <w:rPr>
          <w:rFonts w:hint="eastAsia"/>
        </w:rPr>
        <w:t>本公司作为担保方</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913"/>
        <w:gridCol w:w="1915"/>
        <w:gridCol w:w="1914"/>
        <w:gridCol w:w="1914"/>
        <w:gridCol w:w="1914"/>
      </w:tblGrid>
      <w:tr w:rsidR="00A9288A">
        <w:tc>
          <w:tcPr>
            <w:tcW w:w="191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被担保方</w:t>
            </w:r>
          </w:p>
        </w:tc>
        <w:tc>
          <w:tcPr>
            <w:tcW w:w="191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担保金额</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担保起始日</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担保到期日</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担保是否已经履行完毕</w:t>
            </w:r>
          </w:p>
        </w:tc>
      </w:tr>
      <w:tr w:rsidR="00A9288A">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Summerview Company Limited</w:t>
            </w:r>
          </w:p>
        </w:tc>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160,000,000.00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2017</w:t>
            </w:r>
            <w:r>
              <w:rPr>
                <w:rFonts w:hint="eastAsia"/>
              </w:rPr>
              <w:t>年</w:t>
            </w:r>
            <w:r>
              <w:rPr>
                <w:rFonts w:cs="Times New Roman"/>
              </w:rPr>
              <w:t>09</w:t>
            </w:r>
            <w:r>
              <w:rPr>
                <w:rFonts w:hint="eastAsia"/>
              </w:rPr>
              <w:t>月</w:t>
            </w:r>
            <w:r>
              <w:rPr>
                <w:rFonts w:cs="Times New Roman"/>
              </w:rPr>
              <w:t>26</w:t>
            </w:r>
            <w:r>
              <w:rPr>
                <w:rFonts w:hint="eastAsia"/>
              </w:rPr>
              <w:t>日</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2018</w:t>
            </w:r>
            <w:r>
              <w:rPr>
                <w:rFonts w:hint="eastAsia"/>
              </w:rPr>
              <w:t>年</w:t>
            </w:r>
            <w:r>
              <w:rPr>
                <w:rFonts w:cs="Times New Roman"/>
              </w:rPr>
              <w:t>10</w:t>
            </w:r>
            <w:r>
              <w:rPr>
                <w:rFonts w:hint="eastAsia"/>
              </w:rPr>
              <w:t>月</w:t>
            </w:r>
            <w:r>
              <w:rPr>
                <w:rFonts w:cs="Times New Roman"/>
              </w:rPr>
              <w:t>26</w:t>
            </w:r>
            <w:r>
              <w:rPr>
                <w:rFonts w:hint="eastAsia"/>
              </w:rPr>
              <w:t>日</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r>
      <w:tr w:rsidR="00A9288A">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海兰信（香港）航海科技有限公司</w:t>
            </w:r>
          </w:p>
        </w:tc>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39,011,460.97</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2017</w:t>
            </w:r>
            <w:r>
              <w:rPr>
                <w:rFonts w:hint="eastAsia"/>
              </w:rPr>
              <w:t>年</w:t>
            </w:r>
            <w:r>
              <w:rPr>
                <w:rFonts w:cs="Times New Roman"/>
              </w:rPr>
              <w:t>09</w:t>
            </w:r>
            <w:r>
              <w:rPr>
                <w:rFonts w:hint="eastAsia"/>
              </w:rPr>
              <w:t>月</w:t>
            </w:r>
            <w:r>
              <w:rPr>
                <w:rFonts w:cs="Times New Roman"/>
              </w:rPr>
              <w:t>29</w:t>
            </w:r>
            <w:r>
              <w:rPr>
                <w:rFonts w:hint="eastAsia"/>
              </w:rPr>
              <w:t>日</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2018</w:t>
            </w:r>
            <w:r>
              <w:rPr>
                <w:rFonts w:hint="eastAsia"/>
              </w:rPr>
              <w:t>年</w:t>
            </w:r>
            <w:r>
              <w:rPr>
                <w:rFonts w:cs="Times New Roman"/>
              </w:rPr>
              <w:t>03</w:t>
            </w:r>
            <w:r>
              <w:rPr>
                <w:rFonts w:hint="eastAsia"/>
              </w:rPr>
              <w:t>月</w:t>
            </w:r>
            <w:r>
              <w:rPr>
                <w:rFonts w:cs="Times New Roman"/>
              </w:rPr>
              <w:t>29</w:t>
            </w:r>
            <w:r>
              <w:rPr>
                <w:rFonts w:hint="eastAsia"/>
              </w:rPr>
              <w:t>日</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是</w:t>
            </w:r>
          </w:p>
        </w:tc>
      </w:tr>
      <w:tr w:rsidR="00A9288A">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成都海兰天澄科技股份有限公司</w:t>
            </w:r>
          </w:p>
        </w:tc>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10,000,000.00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2018</w:t>
            </w:r>
            <w:r>
              <w:rPr>
                <w:rFonts w:hint="eastAsia"/>
              </w:rPr>
              <w:t>年</w:t>
            </w:r>
            <w:r>
              <w:rPr>
                <w:rFonts w:cs="Times New Roman"/>
              </w:rPr>
              <w:t>01</w:t>
            </w:r>
            <w:r>
              <w:rPr>
                <w:rFonts w:hint="eastAsia"/>
              </w:rPr>
              <w:t>月</w:t>
            </w:r>
            <w:r>
              <w:rPr>
                <w:rFonts w:cs="Times New Roman"/>
              </w:rPr>
              <w:t>04</w:t>
            </w:r>
            <w:r>
              <w:rPr>
                <w:rFonts w:hint="eastAsia"/>
              </w:rPr>
              <w:t>日</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2020</w:t>
            </w:r>
            <w:r>
              <w:rPr>
                <w:rFonts w:hint="eastAsia"/>
              </w:rPr>
              <w:t>年</w:t>
            </w:r>
            <w:r>
              <w:rPr>
                <w:rFonts w:cs="Times New Roman"/>
              </w:rPr>
              <w:t>01</w:t>
            </w:r>
            <w:r>
              <w:rPr>
                <w:rFonts w:hint="eastAsia"/>
              </w:rPr>
              <w:t>月</w:t>
            </w:r>
            <w:r>
              <w:rPr>
                <w:rFonts w:cs="Times New Roman"/>
              </w:rPr>
              <w:t>04</w:t>
            </w:r>
            <w:r>
              <w:rPr>
                <w:rFonts w:hint="eastAsia"/>
              </w:rPr>
              <w:t>日</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r>
      <w:tr w:rsidR="00A9288A">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劳雷海洋系统有限公司</w:t>
            </w:r>
          </w:p>
        </w:tc>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15,175,800.00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2017</w:t>
            </w:r>
            <w:r>
              <w:rPr>
                <w:rFonts w:hint="eastAsia"/>
              </w:rPr>
              <w:t>年</w:t>
            </w:r>
            <w:r>
              <w:rPr>
                <w:rFonts w:cs="Times New Roman"/>
              </w:rPr>
              <w:t>09</w:t>
            </w:r>
            <w:r>
              <w:rPr>
                <w:rFonts w:hint="eastAsia"/>
              </w:rPr>
              <w:t>月</w:t>
            </w:r>
            <w:r>
              <w:rPr>
                <w:rFonts w:cs="Times New Roman"/>
              </w:rPr>
              <w:t>29</w:t>
            </w:r>
            <w:r>
              <w:rPr>
                <w:rFonts w:hint="eastAsia"/>
              </w:rPr>
              <w:t>日</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2018</w:t>
            </w:r>
            <w:r>
              <w:rPr>
                <w:rFonts w:hint="eastAsia"/>
              </w:rPr>
              <w:t>年</w:t>
            </w:r>
            <w:r>
              <w:rPr>
                <w:rFonts w:cs="Times New Roman"/>
              </w:rPr>
              <w:t>09</w:t>
            </w:r>
            <w:r>
              <w:rPr>
                <w:rFonts w:hint="eastAsia"/>
              </w:rPr>
              <w:t>月</w:t>
            </w:r>
            <w:r>
              <w:rPr>
                <w:rFonts w:cs="Times New Roman"/>
              </w:rPr>
              <w:t>29</w:t>
            </w:r>
            <w:r>
              <w:rPr>
                <w:rFonts w:hint="eastAsia"/>
              </w:rPr>
              <w:t>日</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否</w:t>
            </w:r>
          </w:p>
        </w:tc>
      </w:tr>
    </w:tbl>
    <w:p w:rsidR="00A9288A" w:rsidRDefault="007A4434">
      <w:pPr>
        <w:pStyle w:val="Section"/>
        <w:outlineLvl w:val="3"/>
        <w:rPr>
          <w:rFonts w:eastAsia="Times New Roman" w:cs="Times New Roman"/>
        </w:rPr>
      </w:pPr>
      <w:r>
        <w:rPr>
          <w:rFonts w:hint="eastAsia"/>
        </w:rPr>
        <w:t>（</w:t>
      </w:r>
      <w:r>
        <w:rPr>
          <w:rFonts w:cs="Times New Roman"/>
        </w:rPr>
        <w:t>5</w:t>
      </w:r>
      <w:r>
        <w:rPr>
          <w:rFonts w:hint="eastAsia"/>
        </w:rPr>
        <w:t>）关联方资金拆借</w:t>
      </w:r>
    </w:p>
    <w:p w:rsidR="00A9288A" w:rsidRDefault="007A4434">
      <w:pPr>
        <w:pStyle w:val="Section"/>
        <w:outlineLvl w:val="3"/>
        <w:rPr>
          <w:rFonts w:eastAsia="Times New Roman" w:cs="Times New Roman"/>
        </w:rPr>
      </w:pPr>
      <w:r>
        <w:rPr>
          <w:rFonts w:hint="eastAsia"/>
        </w:rPr>
        <w:t>（</w:t>
      </w:r>
      <w:r>
        <w:rPr>
          <w:rFonts w:cs="Times New Roman"/>
        </w:rPr>
        <w:t>6</w:t>
      </w:r>
      <w:r>
        <w:rPr>
          <w:rFonts w:hint="eastAsia"/>
        </w:rPr>
        <w:t>）关联方资产转让、债务重组情况</w:t>
      </w:r>
    </w:p>
    <w:p w:rsidR="00A9288A" w:rsidRDefault="007A4434">
      <w:pPr>
        <w:pStyle w:val="Section"/>
        <w:outlineLvl w:val="3"/>
        <w:rPr>
          <w:rFonts w:eastAsia="Times New Roman" w:cs="Times New Roman"/>
        </w:rPr>
      </w:pPr>
      <w:r>
        <w:rPr>
          <w:rFonts w:hint="eastAsia"/>
        </w:rPr>
        <w:t>（</w:t>
      </w:r>
      <w:r>
        <w:rPr>
          <w:rFonts w:cs="Times New Roman"/>
        </w:rPr>
        <w:t>7</w:t>
      </w:r>
      <w:r>
        <w:rPr>
          <w:rFonts w:hint="eastAsia"/>
        </w:rPr>
        <w:t>）关键管理人员报酬</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188"/>
        <w:gridCol w:w="3190"/>
        <w:gridCol w:w="3191"/>
      </w:tblGrid>
      <w:tr w:rsidR="00A9288A">
        <w:tc>
          <w:tcPr>
            <w:tcW w:w="318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c>
          <w:tcPr>
            <w:tcW w:w="319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上期发生额</w:t>
            </w:r>
          </w:p>
        </w:tc>
      </w:tr>
      <w:tr w:rsidR="00A9288A">
        <w:tc>
          <w:tcPr>
            <w:tcW w:w="318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关键管理人员报酬</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1,751,179.73</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1,830,778.18</w:t>
            </w:r>
          </w:p>
        </w:tc>
      </w:tr>
    </w:tbl>
    <w:p w:rsidR="00A9288A" w:rsidRDefault="007A4434">
      <w:pPr>
        <w:pStyle w:val="Section"/>
        <w:outlineLvl w:val="3"/>
        <w:rPr>
          <w:rFonts w:eastAsia="Times New Roman" w:cs="Times New Roman"/>
        </w:rPr>
      </w:pPr>
      <w:r>
        <w:rPr>
          <w:rFonts w:hint="eastAsia"/>
        </w:rPr>
        <w:lastRenderedPageBreak/>
        <w:t>（</w:t>
      </w:r>
      <w:r>
        <w:rPr>
          <w:rFonts w:cs="Times New Roman"/>
        </w:rPr>
        <w:t>8</w:t>
      </w:r>
      <w:r>
        <w:rPr>
          <w:rFonts w:hint="eastAsia"/>
        </w:rPr>
        <w:t>）其他关联交易</w:t>
      </w:r>
    </w:p>
    <w:p w:rsidR="00A9288A" w:rsidRDefault="007A4434">
      <w:pPr>
        <w:pStyle w:val="Section"/>
        <w:outlineLvl w:val="2"/>
        <w:rPr>
          <w:rFonts w:eastAsia="Times New Roman" w:cs="Times New Roman"/>
        </w:rPr>
      </w:pPr>
      <w:r>
        <w:rPr>
          <w:rFonts w:cs="Times New Roman"/>
        </w:rPr>
        <w:t>6</w:t>
      </w:r>
      <w:r>
        <w:rPr>
          <w:rFonts w:hint="eastAsia"/>
        </w:rPr>
        <w:t>、关联方应收应付款项</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）应收项目</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595"/>
        <w:gridCol w:w="1595"/>
        <w:gridCol w:w="1594"/>
        <w:gridCol w:w="1594"/>
        <w:gridCol w:w="1594"/>
        <w:gridCol w:w="1594"/>
      </w:tblGrid>
      <w:tr w:rsidR="00A9288A">
        <w:tc>
          <w:tcPr>
            <w:tcW w:w="1595"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项目名称</w:t>
            </w:r>
          </w:p>
        </w:tc>
        <w:tc>
          <w:tcPr>
            <w:tcW w:w="1595"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关联方</w:t>
            </w:r>
          </w:p>
        </w:tc>
        <w:tc>
          <w:tcPr>
            <w:tcW w:w="3188"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3188"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r>
      <w:tr w:rsidR="00A9288A">
        <w:tc>
          <w:tcPr>
            <w:tcW w:w="1595"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595"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账面余额</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坏账准备</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账面余额</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坏账准备</w:t>
            </w:r>
          </w:p>
        </w:tc>
      </w:tr>
      <w:tr w:rsidR="00A9288A">
        <w:tc>
          <w:tcPr>
            <w:tcW w:w="15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应收账款</w:t>
            </w:r>
          </w:p>
        </w:tc>
        <w:tc>
          <w:tcPr>
            <w:tcW w:w="15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三亚海兰寰宇海洋信息科技有限公司</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116,046,076.09</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93,266,507.17</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5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应收账款</w:t>
            </w:r>
          </w:p>
        </w:tc>
        <w:tc>
          <w:tcPr>
            <w:tcW w:w="15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北京南风科创应用技术有限公司</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11,312,283.45</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9,814,827.05</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5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应收账款</w:t>
            </w:r>
          </w:p>
        </w:tc>
        <w:tc>
          <w:tcPr>
            <w:tcW w:w="15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上海劳雷仪器系统有限公司</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500,000.00</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500,000.00</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5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应收账款</w:t>
            </w:r>
          </w:p>
        </w:tc>
        <w:tc>
          <w:tcPr>
            <w:tcW w:w="15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北京劳雷物理探测仪器有限公司</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2,588,409.10</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2,560,000.00</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5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应收账款</w:t>
            </w:r>
          </w:p>
        </w:tc>
        <w:tc>
          <w:tcPr>
            <w:tcW w:w="15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成都奥塔科技有限公司</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2,958,912.74</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1,499,539.40</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5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预付账款</w:t>
            </w:r>
          </w:p>
        </w:tc>
        <w:tc>
          <w:tcPr>
            <w:tcW w:w="15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上海劳雷仪器系统有限公司</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2,450,000.00</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2,450,000.00</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5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其他应收款</w:t>
            </w:r>
          </w:p>
        </w:tc>
        <w:tc>
          <w:tcPr>
            <w:tcW w:w="15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北京劳雷物理探测仪器公司</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127,341.72</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127,341.72</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5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其他应收款</w:t>
            </w:r>
          </w:p>
        </w:tc>
        <w:tc>
          <w:tcPr>
            <w:tcW w:w="15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浙江海兰信海洋信息科技有限公司</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11,172.00</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bl>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）应付项目</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2391"/>
        <w:gridCol w:w="2393"/>
        <w:gridCol w:w="2392"/>
        <w:gridCol w:w="2392"/>
      </w:tblGrid>
      <w:tr w:rsidR="00A9288A">
        <w:tc>
          <w:tcPr>
            <w:tcW w:w="239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项目名称</w:t>
            </w:r>
          </w:p>
        </w:tc>
        <w:tc>
          <w:tcPr>
            <w:tcW w:w="23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关联方</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期末账面余额</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期初账面余额</w:t>
            </w:r>
          </w:p>
        </w:tc>
      </w:tr>
      <w:tr w:rsidR="00A9288A">
        <w:tc>
          <w:tcPr>
            <w:tcW w:w="23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应付账款</w:t>
            </w:r>
          </w:p>
        </w:tc>
        <w:tc>
          <w:tcPr>
            <w:tcW w:w="23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浙江海兰信海洋信息科技有限公司</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2,250,000.00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2,203,734.25</w:t>
            </w:r>
          </w:p>
        </w:tc>
      </w:tr>
      <w:tr w:rsidR="00A9288A">
        <w:tc>
          <w:tcPr>
            <w:tcW w:w="23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应付账款</w:t>
            </w:r>
          </w:p>
        </w:tc>
        <w:tc>
          <w:tcPr>
            <w:tcW w:w="23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北京南风科创应用技术有限公司</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568,282.96</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1,677,951.67</w:t>
            </w:r>
          </w:p>
        </w:tc>
      </w:tr>
      <w:tr w:rsidR="00A9288A">
        <w:tc>
          <w:tcPr>
            <w:tcW w:w="23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应付账款</w:t>
            </w:r>
          </w:p>
        </w:tc>
        <w:tc>
          <w:tcPr>
            <w:tcW w:w="23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上海劳雷仪器系统有限公司</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334,250.00</w:t>
            </w:r>
          </w:p>
        </w:tc>
      </w:tr>
      <w:tr w:rsidR="00A9288A">
        <w:tc>
          <w:tcPr>
            <w:tcW w:w="23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其他应付款</w:t>
            </w:r>
          </w:p>
        </w:tc>
        <w:tc>
          <w:tcPr>
            <w:tcW w:w="23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浙江海兰信海洋信息科技有限公司</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10,000,000.00</w:t>
            </w:r>
          </w:p>
        </w:tc>
      </w:tr>
      <w:tr w:rsidR="00A9288A">
        <w:tc>
          <w:tcPr>
            <w:tcW w:w="23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应付账款</w:t>
            </w:r>
          </w:p>
        </w:tc>
        <w:tc>
          <w:tcPr>
            <w:tcW w:w="23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劳雷地球物理系统有限公司</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117,866.02</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23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应付账款</w:t>
            </w:r>
          </w:p>
        </w:tc>
        <w:tc>
          <w:tcPr>
            <w:tcW w:w="23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美国劳雷工业有限公司</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67,281.03</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239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lastRenderedPageBreak/>
              <w:t>应付账款</w:t>
            </w:r>
          </w:p>
        </w:tc>
        <w:tc>
          <w:tcPr>
            <w:tcW w:w="239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北京劳雷物理探测仪器有限公司</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2,492.70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bl>
    <w:p w:rsidR="00A9288A" w:rsidRDefault="007A4434">
      <w:pPr>
        <w:pStyle w:val="Section"/>
        <w:outlineLvl w:val="2"/>
        <w:rPr>
          <w:rFonts w:eastAsia="Times New Roman" w:cs="Times New Roman"/>
        </w:rPr>
      </w:pPr>
      <w:r>
        <w:rPr>
          <w:rFonts w:cs="Times New Roman"/>
        </w:rPr>
        <w:t>7</w:t>
      </w:r>
      <w:r>
        <w:rPr>
          <w:rFonts w:hint="eastAsia"/>
        </w:rPr>
        <w:t>、关联方承诺</w:t>
      </w:r>
    </w:p>
    <w:p w:rsidR="00A9288A" w:rsidRDefault="007A4434">
      <w:pPr>
        <w:pStyle w:val="Section"/>
        <w:outlineLvl w:val="2"/>
        <w:rPr>
          <w:rFonts w:eastAsia="Times New Roman" w:cs="Times New Roman"/>
        </w:rPr>
      </w:pPr>
      <w:r>
        <w:rPr>
          <w:rFonts w:cs="Times New Roman"/>
        </w:rPr>
        <w:t>8</w:t>
      </w:r>
      <w:r>
        <w:rPr>
          <w:rFonts w:hint="eastAsia"/>
        </w:rPr>
        <w:t>、其他</w:t>
      </w:r>
    </w:p>
    <w:p w:rsidR="00A9288A" w:rsidRDefault="007A4434">
      <w:pPr>
        <w:pStyle w:val="Chapter"/>
        <w:outlineLvl w:val="1"/>
        <w:rPr>
          <w:rFonts w:eastAsia="Times New Roman" w:cs="Times New Roman"/>
        </w:rPr>
      </w:pPr>
      <w:r>
        <w:rPr>
          <w:rFonts w:hint="eastAsia"/>
        </w:rPr>
        <w:t>十三、股份支付</w:t>
      </w:r>
    </w:p>
    <w:p w:rsidR="00A9288A" w:rsidRDefault="007A4434">
      <w:pPr>
        <w:pStyle w:val="Section"/>
        <w:outlineLvl w:val="2"/>
        <w:rPr>
          <w:rFonts w:eastAsia="Times New Roman" w:cs="Times New Roman"/>
        </w:rPr>
      </w:pPr>
      <w:r>
        <w:rPr>
          <w:rFonts w:cs="Times New Roman"/>
        </w:rPr>
        <w:t>1</w:t>
      </w:r>
      <w:r>
        <w:rPr>
          <w:rFonts w:hint="eastAsia"/>
        </w:rPr>
        <w:t>、股份支付总体情况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Section"/>
        <w:outlineLvl w:val="2"/>
        <w:rPr>
          <w:rFonts w:eastAsia="Times New Roman" w:cs="Times New Roman"/>
        </w:rPr>
      </w:pPr>
      <w:r>
        <w:rPr>
          <w:rFonts w:cs="Times New Roman"/>
        </w:rPr>
        <w:t>2</w:t>
      </w:r>
      <w:r>
        <w:rPr>
          <w:rFonts w:hint="eastAsia"/>
        </w:rPr>
        <w:t>、以权益结算的股份支付情况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Section"/>
        <w:outlineLvl w:val="2"/>
        <w:rPr>
          <w:rFonts w:eastAsia="Times New Roman" w:cs="Times New Roman"/>
        </w:rPr>
      </w:pPr>
      <w:r>
        <w:rPr>
          <w:rFonts w:cs="Times New Roman"/>
        </w:rPr>
        <w:t>3</w:t>
      </w:r>
      <w:r>
        <w:rPr>
          <w:rFonts w:hint="eastAsia"/>
        </w:rPr>
        <w:t>、以现金结算的股份支付情况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Section"/>
        <w:outlineLvl w:val="2"/>
        <w:rPr>
          <w:rFonts w:eastAsia="Times New Roman" w:cs="Times New Roman"/>
        </w:rPr>
      </w:pPr>
      <w:r>
        <w:rPr>
          <w:rFonts w:cs="Times New Roman"/>
        </w:rPr>
        <w:t>4</w:t>
      </w:r>
      <w:r>
        <w:rPr>
          <w:rFonts w:hint="eastAsia"/>
        </w:rPr>
        <w:t>、股份支付的修改、终止情况</w:t>
      </w:r>
    </w:p>
    <w:p w:rsidR="00A9288A" w:rsidRDefault="007A4434">
      <w:pPr>
        <w:pStyle w:val="Section"/>
        <w:outlineLvl w:val="2"/>
        <w:rPr>
          <w:rFonts w:eastAsia="Times New Roman" w:cs="Times New Roman"/>
        </w:rPr>
      </w:pPr>
      <w:r>
        <w:rPr>
          <w:rFonts w:cs="Times New Roman"/>
        </w:rPr>
        <w:t>5</w:t>
      </w:r>
      <w:r>
        <w:rPr>
          <w:rFonts w:hint="eastAsia"/>
        </w:rPr>
        <w:t>、其他</w:t>
      </w:r>
    </w:p>
    <w:p w:rsidR="00A9288A" w:rsidRDefault="007A4434">
      <w:pPr>
        <w:pStyle w:val="Chapter"/>
        <w:outlineLvl w:val="1"/>
        <w:rPr>
          <w:rFonts w:eastAsia="Times New Roman" w:cs="Times New Roman"/>
        </w:rPr>
      </w:pPr>
      <w:r>
        <w:rPr>
          <w:rFonts w:hint="eastAsia"/>
        </w:rPr>
        <w:t>十四、承诺及或有事项</w:t>
      </w:r>
    </w:p>
    <w:p w:rsidR="00A9288A" w:rsidRDefault="007A4434">
      <w:pPr>
        <w:pStyle w:val="Section"/>
        <w:outlineLvl w:val="2"/>
        <w:rPr>
          <w:rFonts w:eastAsia="Times New Roman" w:cs="Times New Roman"/>
        </w:rPr>
      </w:pPr>
      <w:r>
        <w:rPr>
          <w:rFonts w:cs="Times New Roman"/>
        </w:rPr>
        <w:t>1</w:t>
      </w:r>
      <w:r>
        <w:rPr>
          <w:rFonts w:hint="eastAsia"/>
        </w:rPr>
        <w:t>、重要承诺事项</w:t>
      </w:r>
    </w:p>
    <w:p w:rsidR="00A9288A" w:rsidRDefault="007A4434">
      <w:pPr>
        <w:jc w:val="left"/>
        <w:rPr>
          <w:rFonts w:eastAsia="Times New Roman" w:cs="Times New Roman"/>
        </w:rPr>
      </w:pPr>
      <w:r>
        <w:rPr>
          <w:rFonts w:hint="eastAsia"/>
        </w:rPr>
        <w:t>资产负债表日存在的重要承诺</w:t>
      </w:r>
    </w:p>
    <w:p w:rsidR="00A9288A" w:rsidRDefault="007A4434">
      <w:pPr>
        <w:pStyle w:val="Section"/>
        <w:outlineLvl w:val="2"/>
        <w:rPr>
          <w:rFonts w:eastAsia="Times New Roman" w:cs="Times New Roman"/>
        </w:rPr>
      </w:pPr>
      <w:r>
        <w:rPr>
          <w:rFonts w:cs="Times New Roman"/>
        </w:rPr>
        <w:t>2</w:t>
      </w:r>
      <w:r>
        <w:rPr>
          <w:rFonts w:hint="eastAsia"/>
        </w:rPr>
        <w:t>、或有事项</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）资产负债表日存在的重要或有事项</w:t>
      </w: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）公司没有需要披露的重要或有事项，也应予以说明</w:t>
      </w:r>
    </w:p>
    <w:p w:rsidR="00A9288A" w:rsidRDefault="007A4434">
      <w:pPr>
        <w:jc w:val="left"/>
        <w:rPr>
          <w:rFonts w:eastAsia="Times New Roman" w:cs="Times New Roman"/>
        </w:rPr>
      </w:pPr>
      <w:r>
        <w:rPr>
          <w:rFonts w:hint="eastAsia"/>
        </w:rPr>
        <w:t>公司不存在需要披露的重要或有事项。</w:t>
      </w:r>
    </w:p>
    <w:p w:rsidR="00A9288A" w:rsidRDefault="007A4434">
      <w:pPr>
        <w:pStyle w:val="Section"/>
        <w:outlineLvl w:val="2"/>
        <w:rPr>
          <w:rFonts w:eastAsia="Times New Roman" w:cs="Times New Roman"/>
        </w:rPr>
      </w:pPr>
      <w:r>
        <w:rPr>
          <w:rFonts w:cs="Times New Roman"/>
        </w:rPr>
        <w:lastRenderedPageBreak/>
        <w:t>3</w:t>
      </w:r>
      <w:r>
        <w:rPr>
          <w:rFonts w:hint="eastAsia"/>
        </w:rPr>
        <w:t>、其他</w:t>
      </w:r>
    </w:p>
    <w:p w:rsidR="00A9288A" w:rsidRDefault="007A4434">
      <w:pPr>
        <w:pStyle w:val="Chapter"/>
        <w:outlineLvl w:val="1"/>
        <w:rPr>
          <w:rFonts w:eastAsia="Times New Roman" w:cs="Times New Roman"/>
        </w:rPr>
      </w:pPr>
      <w:r>
        <w:rPr>
          <w:rFonts w:hint="eastAsia"/>
        </w:rPr>
        <w:t>十五、资产负债表日后事项</w:t>
      </w:r>
    </w:p>
    <w:p w:rsidR="00A9288A" w:rsidRDefault="007A4434">
      <w:pPr>
        <w:pStyle w:val="Section"/>
        <w:outlineLvl w:val="2"/>
        <w:rPr>
          <w:rFonts w:eastAsia="Times New Roman" w:cs="Times New Roman"/>
        </w:rPr>
      </w:pPr>
      <w:r>
        <w:rPr>
          <w:rFonts w:cs="Times New Roman"/>
        </w:rPr>
        <w:t>1</w:t>
      </w:r>
      <w:r>
        <w:rPr>
          <w:rFonts w:hint="eastAsia"/>
        </w:rPr>
        <w:t>、重要的非调整事项</w:t>
      </w:r>
    </w:p>
    <w:p w:rsidR="00A9288A" w:rsidRDefault="007A4434">
      <w:pPr>
        <w:pStyle w:val="Section"/>
        <w:outlineLvl w:val="2"/>
        <w:rPr>
          <w:rFonts w:eastAsia="Times New Roman" w:cs="Times New Roman"/>
        </w:rPr>
      </w:pPr>
      <w:r>
        <w:rPr>
          <w:rFonts w:cs="Times New Roman"/>
        </w:rPr>
        <w:t>2</w:t>
      </w:r>
      <w:r>
        <w:rPr>
          <w:rFonts w:hint="eastAsia"/>
        </w:rPr>
        <w:t>、利润分配情况</w:t>
      </w:r>
    </w:p>
    <w:p w:rsidR="00A9288A" w:rsidRDefault="007A4434">
      <w:pPr>
        <w:pStyle w:val="Section"/>
        <w:outlineLvl w:val="2"/>
        <w:rPr>
          <w:rFonts w:eastAsia="Times New Roman" w:cs="Times New Roman"/>
        </w:rPr>
      </w:pPr>
      <w:r>
        <w:rPr>
          <w:rFonts w:cs="Times New Roman"/>
        </w:rPr>
        <w:t>3</w:t>
      </w:r>
      <w:r>
        <w:rPr>
          <w:rFonts w:hint="eastAsia"/>
        </w:rPr>
        <w:t>、销售退回</w:t>
      </w:r>
    </w:p>
    <w:p w:rsidR="00A9288A" w:rsidRDefault="007A4434">
      <w:pPr>
        <w:pStyle w:val="Section"/>
        <w:outlineLvl w:val="2"/>
        <w:rPr>
          <w:rFonts w:eastAsia="Times New Roman" w:cs="Times New Roman"/>
        </w:rPr>
      </w:pPr>
      <w:r>
        <w:rPr>
          <w:rFonts w:cs="Times New Roman"/>
        </w:rPr>
        <w:t>4</w:t>
      </w:r>
      <w:r>
        <w:rPr>
          <w:rFonts w:hint="eastAsia"/>
        </w:rPr>
        <w:t>、其他资产负债表日后事项说明</w:t>
      </w:r>
    </w:p>
    <w:p w:rsidR="00A9288A" w:rsidRDefault="007A4434">
      <w:pPr>
        <w:autoSpaceDE w:val="0"/>
        <w:autoSpaceDN w:val="0"/>
        <w:adjustRightInd w:val="0"/>
        <w:spacing w:before="0" w:after="120"/>
        <w:ind w:firstLine="420"/>
        <w:rPr>
          <w:rFonts w:eastAsia="Times New Roman" w:cs="Times New Roman"/>
          <w:kern w:val="0"/>
          <w:sz w:val="21"/>
          <w:szCs w:val="21"/>
          <w:lang w:val="zh-CN"/>
        </w:rPr>
      </w:pPr>
      <w:r>
        <w:rPr>
          <w:rFonts w:eastAsia="Times New Roman" w:cs="Times New Roman"/>
          <w:kern w:val="0"/>
          <w:sz w:val="21"/>
          <w:szCs w:val="21"/>
          <w:lang w:val="zh-CN"/>
        </w:rPr>
        <w:t>2018</w:t>
      </w:r>
      <w:r>
        <w:rPr>
          <w:rFonts w:ascii="宋体" w:hAnsi="宋体" w:hint="eastAsia"/>
          <w:kern w:val="0"/>
          <w:sz w:val="21"/>
          <w:szCs w:val="21"/>
          <w:lang w:val="zh-CN"/>
        </w:rPr>
        <w:t>年</w:t>
      </w:r>
      <w:r>
        <w:rPr>
          <w:rFonts w:eastAsia="Times New Roman" w:cs="Times New Roman"/>
          <w:kern w:val="0"/>
          <w:sz w:val="21"/>
          <w:szCs w:val="21"/>
          <w:lang w:val="zh-CN"/>
        </w:rPr>
        <w:t>7</w:t>
      </w:r>
      <w:r>
        <w:rPr>
          <w:rFonts w:ascii="宋体" w:hAnsi="宋体" w:hint="eastAsia"/>
          <w:kern w:val="0"/>
          <w:sz w:val="21"/>
          <w:szCs w:val="21"/>
          <w:lang w:val="zh-CN"/>
        </w:rPr>
        <w:t>月</w:t>
      </w:r>
      <w:r>
        <w:rPr>
          <w:rFonts w:eastAsia="Times New Roman" w:cs="Times New Roman"/>
          <w:kern w:val="0"/>
          <w:sz w:val="21"/>
          <w:szCs w:val="21"/>
          <w:lang w:val="zh-CN"/>
        </w:rPr>
        <w:t>27</w:t>
      </w:r>
      <w:r>
        <w:rPr>
          <w:rFonts w:ascii="宋体" w:hAnsi="宋体" w:hint="eastAsia"/>
          <w:kern w:val="0"/>
          <w:sz w:val="21"/>
          <w:szCs w:val="21"/>
          <w:lang w:val="zh-CN"/>
        </w:rPr>
        <w:t>日，公司召开第四届董事会第十三次会议，审议通过了《关于注销回购专户部分股票的议案》，本公司计划注销回购专户其中</w:t>
      </w:r>
      <w:r>
        <w:rPr>
          <w:rFonts w:eastAsia="Times New Roman" w:cs="Times New Roman"/>
          <w:kern w:val="0"/>
          <w:sz w:val="21"/>
          <w:szCs w:val="21"/>
          <w:lang w:val="zh-CN"/>
        </w:rPr>
        <w:t>3,523,233</w:t>
      </w:r>
      <w:r>
        <w:rPr>
          <w:rFonts w:ascii="宋体" w:hAnsi="宋体" w:hint="eastAsia"/>
          <w:kern w:val="0"/>
          <w:sz w:val="21"/>
          <w:szCs w:val="21"/>
          <w:lang w:val="zh-CN"/>
        </w:rPr>
        <w:t>股股票，均价为</w:t>
      </w:r>
      <w:r>
        <w:rPr>
          <w:rFonts w:eastAsia="Times New Roman" w:cs="Times New Roman"/>
          <w:kern w:val="0"/>
          <w:sz w:val="21"/>
          <w:szCs w:val="21"/>
          <w:lang w:val="zh-CN"/>
        </w:rPr>
        <w:t>14.191514</w:t>
      </w:r>
      <w:r>
        <w:rPr>
          <w:rFonts w:ascii="宋体" w:hAnsi="宋体" w:hint="eastAsia"/>
          <w:kern w:val="0"/>
          <w:sz w:val="21"/>
          <w:szCs w:val="21"/>
          <w:lang w:val="zh-CN"/>
        </w:rPr>
        <w:t>元</w:t>
      </w:r>
      <w:r>
        <w:rPr>
          <w:rFonts w:eastAsia="Times New Roman" w:cs="Times New Roman"/>
          <w:kern w:val="0"/>
          <w:sz w:val="21"/>
          <w:szCs w:val="21"/>
          <w:lang w:val="zh-CN"/>
        </w:rPr>
        <w:t>/</w:t>
      </w:r>
      <w:r>
        <w:rPr>
          <w:rFonts w:ascii="宋体" w:hAnsi="宋体" w:hint="eastAsia"/>
          <w:kern w:val="0"/>
          <w:sz w:val="21"/>
          <w:szCs w:val="21"/>
          <w:lang w:val="zh-CN"/>
        </w:rPr>
        <w:t>股，对应金额为</w:t>
      </w:r>
      <w:r>
        <w:rPr>
          <w:rFonts w:eastAsia="Times New Roman" w:cs="Times New Roman"/>
          <w:kern w:val="0"/>
          <w:sz w:val="21"/>
          <w:szCs w:val="21"/>
          <w:lang w:val="zh-CN"/>
        </w:rPr>
        <w:t>50,000,010.44</w:t>
      </w:r>
      <w:r>
        <w:rPr>
          <w:rFonts w:ascii="宋体" w:hAnsi="宋体" w:hint="eastAsia"/>
          <w:kern w:val="0"/>
          <w:sz w:val="21"/>
          <w:szCs w:val="21"/>
          <w:lang w:val="zh-CN"/>
        </w:rPr>
        <w:t>元。近日公司正在向中国证券登记结算有限责任公司深圳分公司申请办理上述</w:t>
      </w:r>
      <w:r>
        <w:rPr>
          <w:rFonts w:eastAsia="Times New Roman" w:cs="Times New Roman"/>
          <w:kern w:val="0"/>
          <w:sz w:val="21"/>
          <w:szCs w:val="21"/>
          <w:lang w:val="zh-CN"/>
        </w:rPr>
        <w:t>3,523,233</w:t>
      </w:r>
      <w:r>
        <w:rPr>
          <w:rFonts w:ascii="宋体" w:hAnsi="宋体" w:hint="eastAsia"/>
          <w:kern w:val="0"/>
          <w:sz w:val="21"/>
          <w:szCs w:val="21"/>
          <w:lang w:val="zh-CN"/>
        </w:rPr>
        <w:t>股回购股份注销手续。</w:t>
      </w:r>
    </w:p>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Chapter"/>
        <w:outlineLvl w:val="1"/>
        <w:rPr>
          <w:rFonts w:eastAsia="Times New Roman" w:cs="Times New Roman"/>
        </w:rPr>
      </w:pPr>
      <w:r>
        <w:rPr>
          <w:rFonts w:hint="eastAsia"/>
        </w:rPr>
        <w:lastRenderedPageBreak/>
        <w:t>十六、其他重要事项</w:t>
      </w:r>
    </w:p>
    <w:p w:rsidR="00A9288A" w:rsidRDefault="007A4434">
      <w:pPr>
        <w:pStyle w:val="Section"/>
        <w:outlineLvl w:val="2"/>
        <w:rPr>
          <w:rFonts w:eastAsia="Times New Roman" w:cs="Times New Roman"/>
        </w:rPr>
      </w:pPr>
      <w:r>
        <w:rPr>
          <w:rFonts w:cs="Times New Roman"/>
        </w:rPr>
        <w:t>1</w:t>
      </w:r>
      <w:r>
        <w:rPr>
          <w:rFonts w:hint="eastAsia"/>
        </w:rPr>
        <w:t>、前期会计差错更正</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）追溯重述法</w:t>
      </w: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）未来适用法</w:t>
      </w:r>
    </w:p>
    <w:p w:rsidR="00A9288A" w:rsidRDefault="007A4434">
      <w:pPr>
        <w:pStyle w:val="Section"/>
        <w:outlineLvl w:val="2"/>
        <w:rPr>
          <w:rFonts w:eastAsia="Times New Roman" w:cs="Times New Roman"/>
        </w:rPr>
      </w:pPr>
      <w:r>
        <w:rPr>
          <w:rFonts w:cs="Times New Roman"/>
        </w:rPr>
        <w:t>2</w:t>
      </w:r>
      <w:r>
        <w:rPr>
          <w:rFonts w:hint="eastAsia"/>
        </w:rPr>
        <w:t>、债务重组</w:t>
      </w:r>
    </w:p>
    <w:p w:rsidR="00A9288A" w:rsidRDefault="007A4434">
      <w:pPr>
        <w:pStyle w:val="Section"/>
        <w:outlineLvl w:val="2"/>
        <w:rPr>
          <w:rFonts w:eastAsia="Times New Roman" w:cs="Times New Roman"/>
        </w:rPr>
      </w:pPr>
      <w:r>
        <w:rPr>
          <w:rFonts w:cs="Times New Roman"/>
        </w:rPr>
        <w:t>3</w:t>
      </w:r>
      <w:r>
        <w:rPr>
          <w:rFonts w:hint="eastAsia"/>
        </w:rPr>
        <w:t>、资产置换</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）非货币性资产交换</w:t>
      </w: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）其他资产置换</w:t>
      </w:r>
    </w:p>
    <w:p w:rsidR="00A9288A" w:rsidRDefault="007A4434">
      <w:pPr>
        <w:pStyle w:val="Section"/>
        <w:outlineLvl w:val="2"/>
        <w:rPr>
          <w:rFonts w:eastAsia="Times New Roman" w:cs="Times New Roman"/>
        </w:rPr>
      </w:pPr>
      <w:r>
        <w:rPr>
          <w:rFonts w:cs="Times New Roman"/>
        </w:rPr>
        <w:t>4</w:t>
      </w:r>
      <w:r>
        <w:rPr>
          <w:rFonts w:hint="eastAsia"/>
        </w:rPr>
        <w:t>、年金计划</w:t>
      </w:r>
    </w:p>
    <w:p w:rsidR="00A9288A" w:rsidRDefault="007A4434">
      <w:pPr>
        <w:pStyle w:val="Section"/>
        <w:outlineLvl w:val="2"/>
        <w:rPr>
          <w:rFonts w:eastAsia="Times New Roman" w:cs="Times New Roman"/>
        </w:rPr>
      </w:pPr>
      <w:r>
        <w:rPr>
          <w:rFonts w:cs="Times New Roman"/>
        </w:rPr>
        <w:t>5</w:t>
      </w:r>
      <w:r>
        <w:rPr>
          <w:rFonts w:hint="eastAsia"/>
        </w:rPr>
        <w:t>、终止经营</w:t>
      </w:r>
    </w:p>
    <w:p w:rsidR="00A9288A" w:rsidRDefault="007A4434">
      <w:pPr>
        <w:pStyle w:val="Section"/>
        <w:outlineLvl w:val="2"/>
        <w:rPr>
          <w:rFonts w:eastAsia="Times New Roman" w:cs="Times New Roman"/>
        </w:rPr>
      </w:pPr>
      <w:r>
        <w:rPr>
          <w:rFonts w:cs="Times New Roman"/>
        </w:rPr>
        <w:t>6</w:t>
      </w:r>
      <w:r>
        <w:rPr>
          <w:rFonts w:hint="eastAsia"/>
        </w:rPr>
        <w:t>、分部信息</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）报告分部的确定依据与会计政策</w:t>
      </w: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）报告分部的财务信息</w:t>
      </w:r>
    </w:p>
    <w:p w:rsidR="00A9288A" w:rsidRDefault="007A4434">
      <w:pPr>
        <w:pStyle w:val="Section"/>
        <w:outlineLvl w:val="3"/>
        <w:rPr>
          <w:rFonts w:eastAsia="Times New Roman" w:cs="Times New Roman"/>
        </w:rPr>
      </w:pPr>
      <w:r>
        <w:rPr>
          <w:rFonts w:hint="eastAsia"/>
        </w:rPr>
        <w:t>（</w:t>
      </w:r>
      <w:r>
        <w:rPr>
          <w:rFonts w:cs="Times New Roman"/>
        </w:rPr>
        <w:t>3</w:t>
      </w:r>
      <w:r>
        <w:rPr>
          <w:rFonts w:hint="eastAsia"/>
        </w:rPr>
        <w:t>）公司无报告分部的，或者不能披露各报告分部的资产总额和负债总额的，应说明原因</w:t>
      </w:r>
    </w:p>
    <w:p w:rsidR="00A9288A" w:rsidRDefault="007A4434">
      <w:pPr>
        <w:pStyle w:val="Section"/>
        <w:outlineLvl w:val="3"/>
        <w:rPr>
          <w:rFonts w:eastAsia="Times New Roman" w:cs="Times New Roman"/>
        </w:rPr>
      </w:pPr>
      <w:r>
        <w:rPr>
          <w:rFonts w:hint="eastAsia"/>
        </w:rPr>
        <w:t>（</w:t>
      </w:r>
      <w:r>
        <w:rPr>
          <w:rFonts w:cs="Times New Roman"/>
        </w:rPr>
        <w:t>4</w:t>
      </w:r>
      <w:r>
        <w:rPr>
          <w:rFonts w:hint="eastAsia"/>
        </w:rPr>
        <w:t>）其他说明</w:t>
      </w:r>
    </w:p>
    <w:p w:rsidR="00A9288A" w:rsidRDefault="007A4434">
      <w:pPr>
        <w:pStyle w:val="Section"/>
        <w:outlineLvl w:val="2"/>
        <w:rPr>
          <w:rFonts w:eastAsia="Times New Roman" w:cs="Times New Roman"/>
        </w:rPr>
      </w:pPr>
      <w:r>
        <w:rPr>
          <w:rFonts w:cs="Times New Roman"/>
        </w:rPr>
        <w:t>7</w:t>
      </w:r>
      <w:r>
        <w:rPr>
          <w:rFonts w:hint="eastAsia"/>
        </w:rPr>
        <w:t>、其他对投资者决策有影响的重要交易和事项</w:t>
      </w:r>
    </w:p>
    <w:p w:rsidR="00A9288A" w:rsidRDefault="007A4434">
      <w:pPr>
        <w:pStyle w:val="Section"/>
        <w:outlineLvl w:val="2"/>
        <w:rPr>
          <w:rFonts w:eastAsia="Times New Roman" w:cs="Times New Roman"/>
        </w:rPr>
      </w:pPr>
      <w:r>
        <w:rPr>
          <w:rFonts w:cs="Times New Roman"/>
        </w:rPr>
        <w:t>8</w:t>
      </w:r>
      <w:r>
        <w:rPr>
          <w:rFonts w:hint="eastAsia"/>
        </w:rPr>
        <w:t>、其他</w:t>
      </w:r>
    </w:p>
    <w:p w:rsidR="00A9288A" w:rsidRDefault="007A4434">
      <w:pPr>
        <w:pStyle w:val="Chapter"/>
        <w:outlineLvl w:val="1"/>
        <w:rPr>
          <w:rFonts w:eastAsia="Times New Roman" w:cs="Times New Roman"/>
        </w:rPr>
      </w:pPr>
      <w:r>
        <w:rPr>
          <w:rFonts w:hint="eastAsia"/>
        </w:rPr>
        <w:t>十七、母公司财务报表主要项目注释</w:t>
      </w:r>
    </w:p>
    <w:p w:rsidR="00A9288A" w:rsidRDefault="007A4434">
      <w:pPr>
        <w:pStyle w:val="Section"/>
        <w:outlineLvl w:val="2"/>
        <w:rPr>
          <w:rFonts w:eastAsia="Times New Roman" w:cs="Times New Roman"/>
        </w:rPr>
      </w:pPr>
      <w:r>
        <w:rPr>
          <w:rFonts w:cs="Times New Roman"/>
        </w:rPr>
        <w:t>1</w:t>
      </w:r>
      <w:r>
        <w:rPr>
          <w:rFonts w:hint="eastAsia"/>
        </w:rPr>
        <w:t>、应收账款</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）应收账款分类披露</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33" w:type="dxa"/>
        <w:tblLayout w:type="fixed"/>
        <w:tblCellMar>
          <w:left w:w="28" w:type="dxa"/>
          <w:right w:w="28" w:type="dxa"/>
        </w:tblCellMar>
        <w:tblLook w:val="0000" w:firstRow="0" w:lastRow="0" w:firstColumn="0" w:lastColumn="0" w:noHBand="0" w:noVBand="0"/>
      </w:tblPr>
      <w:tblGrid>
        <w:gridCol w:w="1448"/>
        <w:gridCol w:w="994"/>
        <w:gridCol w:w="594"/>
        <w:gridCol w:w="919"/>
        <w:gridCol w:w="594"/>
        <w:gridCol w:w="994"/>
        <w:gridCol w:w="994"/>
        <w:gridCol w:w="594"/>
        <w:gridCol w:w="919"/>
        <w:gridCol w:w="650"/>
        <w:gridCol w:w="994"/>
      </w:tblGrid>
      <w:tr w:rsidR="00A9288A">
        <w:tc>
          <w:tcPr>
            <w:tcW w:w="1448"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类别</w:t>
            </w:r>
          </w:p>
        </w:tc>
        <w:tc>
          <w:tcPr>
            <w:tcW w:w="4095" w:type="dxa"/>
            <w:gridSpan w:val="5"/>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期末余额</w:t>
            </w:r>
          </w:p>
        </w:tc>
        <w:tc>
          <w:tcPr>
            <w:tcW w:w="4151" w:type="dxa"/>
            <w:gridSpan w:val="5"/>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期初余额</w:t>
            </w:r>
          </w:p>
        </w:tc>
      </w:tr>
      <w:tr w:rsidR="00A9288A">
        <w:tc>
          <w:tcPr>
            <w:tcW w:w="1448"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sz w:val="15"/>
                <w:szCs w:val="15"/>
              </w:rPr>
            </w:pPr>
          </w:p>
        </w:tc>
        <w:tc>
          <w:tcPr>
            <w:tcW w:w="1588"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账面余额</w:t>
            </w:r>
          </w:p>
        </w:tc>
        <w:tc>
          <w:tcPr>
            <w:tcW w:w="1513"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坏账准备</w:t>
            </w:r>
          </w:p>
        </w:tc>
        <w:tc>
          <w:tcPr>
            <w:tcW w:w="994"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账面价值</w:t>
            </w:r>
          </w:p>
        </w:tc>
        <w:tc>
          <w:tcPr>
            <w:tcW w:w="1588"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账面余额</w:t>
            </w:r>
          </w:p>
        </w:tc>
        <w:tc>
          <w:tcPr>
            <w:tcW w:w="1569"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坏账准备</w:t>
            </w:r>
          </w:p>
        </w:tc>
        <w:tc>
          <w:tcPr>
            <w:tcW w:w="994"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账面价值</w:t>
            </w:r>
          </w:p>
        </w:tc>
      </w:tr>
      <w:tr w:rsidR="00A9288A">
        <w:tc>
          <w:tcPr>
            <w:tcW w:w="1448"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sz w:val="15"/>
                <w:szCs w:val="15"/>
              </w:rPr>
            </w:pPr>
          </w:p>
        </w:tc>
        <w:tc>
          <w:tcPr>
            <w:tcW w:w="9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金额</w:t>
            </w:r>
          </w:p>
        </w:tc>
        <w:tc>
          <w:tcPr>
            <w:tcW w:w="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比例</w:t>
            </w:r>
          </w:p>
        </w:tc>
        <w:tc>
          <w:tcPr>
            <w:tcW w:w="91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金额</w:t>
            </w:r>
          </w:p>
        </w:tc>
        <w:tc>
          <w:tcPr>
            <w:tcW w:w="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计提比</w:t>
            </w:r>
            <w:r>
              <w:rPr>
                <w:rFonts w:hint="eastAsia"/>
                <w:sz w:val="15"/>
                <w:szCs w:val="15"/>
              </w:rPr>
              <w:lastRenderedPageBreak/>
              <w:t>例</w:t>
            </w:r>
          </w:p>
        </w:tc>
        <w:tc>
          <w:tcPr>
            <w:tcW w:w="994"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sz w:val="15"/>
                <w:szCs w:val="15"/>
              </w:rPr>
            </w:pPr>
          </w:p>
        </w:tc>
        <w:tc>
          <w:tcPr>
            <w:tcW w:w="9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金额</w:t>
            </w:r>
          </w:p>
        </w:tc>
        <w:tc>
          <w:tcPr>
            <w:tcW w:w="5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比例</w:t>
            </w:r>
          </w:p>
        </w:tc>
        <w:tc>
          <w:tcPr>
            <w:tcW w:w="91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金额</w:t>
            </w:r>
          </w:p>
        </w:tc>
        <w:tc>
          <w:tcPr>
            <w:tcW w:w="65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计提比</w:t>
            </w:r>
            <w:r>
              <w:rPr>
                <w:rFonts w:hint="eastAsia"/>
                <w:sz w:val="15"/>
                <w:szCs w:val="15"/>
              </w:rPr>
              <w:lastRenderedPageBreak/>
              <w:t>例</w:t>
            </w:r>
          </w:p>
        </w:tc>
        <w:tc>
          <w:tcPr>
            <w:tcW w:w="994"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sz w:val="15"/>
                <w:szCs w:val="15"/>
              </w:rPr>
            </w:pPr>
          </w:p>
        </w:tc>
      </w:tr>
      <w:tr w:rsidR="00A9288A">
        <w:tc>
          <w:tcPr>
            <w:tcW w:w="144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sz w:val="15"/>
                <w:szCs w:val="15"/>
              </w:rPr>
            </w:pPr>
            <w:r>
              <w:rPr>
                <w:rFonts w:hint="eastAsia"/>
                <w:sz w:val="15"/>
                <w:szCs w:val="15"/>
              </w:rPr>
              <w:lastRenderedPageBreak/>
              <w:t>按信用风险特征组合计提坏账准备的应收账款</w:t>
            </w:r>
          </w:p>
        </w:tc>
        <w:tc>
          <w:tcPr>
            <w:tcW w:w="9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208,481,243.45</w:t>
            </w:r>
          </w:p>
        </w:tc>
        <w:tc>
          <w:tcPr>
            <w:tcW w:w="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99.52%</w:t>
            </w:r>
          </w:p>
        </w:tc>
        <w:tc>
          <w:tcPr>
            <w:tcW w:w="9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17,482,497.88</w:t>
            </w:r>
          </w:p>
        </w:tc>
        <w:tc>
          <w:tcPr>
            <w:tcW w:w="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8.39%</w:t>
            </w:r>
          </w:p>
        </w:tc>
        <w:tc>
          <w:tcPr>
            <w:tcW w:w="9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190,998,745.57</w:t>
            </w:r>
          </w:p>
        </w:tc>
        <w:tc>
          <w:tcPr>
            <w:tcW w:w="9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188,443,426.67</w:t>
            </w:r>
          </w:p>
        </w:tc>
        <w:tc>
          <w:tcPr>
            <w:tcW w:w="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99.47%</w:t>
            </w:r>
          </w:p>
        </w:tc>
        <w:tc>
          <w:tcPr>
            <w:tcW w:w="9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17,965,843.49</w:t>
            </w:r>
          </w:p>
        </w:tc>
        <w:tc>
          <w:tcPr>
            <w:tcW w:w="65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9.34%</w:t>
            </w:r>
          </w:p>
        </w:tc>
        <w:tc>
          <w:tcPr>
            <w:tcW w:w="9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170,477,583.18</w:t>
            </w:r>
          </w:p>
        </w:tc>
      </w:tr>
      <w:tr w:rsidR="00A9288A">
        <w:tc>
          <w:tcPr>
            <w:tcW w:w="144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sz w:val="15"/>
                <w:szCs w:val="15"/>
              </w:rPr>
            </w:pPr>
            <w:r>
              <w:rPr>
                <w:rFonts w:hint="eastAsia"/>
                <w:sz w:val="15"/>
                <w:szCs w:val="15"/>
              </w:rPr>
              <w:t>单项金额不重大但单独计提坏账准备的应收账款</w:t>
            </w:r>
          </w:p>
        </w:tc>
        <w:tc>
          <w:tcPr>
            <w:tcW w:w="9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1,007,178.00</w:t>
            </w:r>
          </w:p>
        </w:tc>
        <w:tc>
          <w:tcPr>
            <w:tcW w:w="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0.53%</w:t>
            </w:r>
          </w:p>
        </w:tc>
        <w:tc>
          <w:tcPr>
            <w:tcW w:w="9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1,007,178.00</w:t>
            </w:r>
          </w:p>
        </w:tc>
        <w:tc>
          <w:tcPr>
            <w:tcW w:w="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100.00%</w:t>
            </w:r>
          </w:p>
        </w:tc>
        <w:tc>
          <w:tcPr>
            <w:tcW w:w="9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sz w:val="15"/>
                <w:szCs w:val="15"/>
              </w:rPr>
            </w:pPr>
          </w:p>
        </w:tc>
        <w:tc>
          <w:tcPr>
            <w:tcW w:w="9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1,007,178.00</w:t>
            </w:r>
          </w:p>
        </w:tc>
        <w:tc>
          <w:tcPr>
            <w:tcW w:w="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0.53%</w:t>
            </w:r>
          </w:p>
        </w:tc>
        <w:tc>
          <w:tcPr>
            <w:tcW w:w="9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1,007,178.00</w:t>
            </w:r>
          </w:p>
        </w:tc>
        <w:tc>
          <w:tcPr>
            <w:tcW w:w="65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100.00%</w:t>
            </w:r>
          </w:p>
        </w:tc>
        <w:tc>
          <w:tcPr>
            <w:tcW w:w="9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sz w:val="15"/>
                <w:szCs w:val="15"/>
              </w:rPr>
            </w:pPr>
          </w:p>
        </w:tc>
      </w:tr>
      <w:tr w:rsidR="00A9288A">
        <w:tc>
          <w:tcPr>
            <w:tcW w:w="144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sz w:val="15"/>
                <w:szCs w:val="15"/>
              </w:rPr>
            </w:pPr>
            <w:r>
              <w:rPr>
                <w:rFonts w:hint="eastAsia"/>
                <w:sz w:val="15"/>
                <w:szCs w:val="15"/>
              </w:rPr>
              <w:t>合计</w:t>
            </w:r>
          </w:p>
        </w:tc>
        <w:tc>
          <w:tcPr>
            <w:tcW w:w="9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209,488,421.45</w:t>
            </w:r>
          </w:p>
        </w:tc>
        <w:tc>
          <w:tcPr>
            <w:tcW w:w="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100.00%</w:t>
            </w:r>
          </w:p>
        </w:tc>
        <w:tc>
          <w:tcPr>
            <w:tcW w:w="9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18,489,675.88</w:t>
            </w:r>
          </w:p>
        </w:tc>
        <w:tc>
          <w:tcPr>
            <w:tcW w:w="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F53C6">
            <w:pPr>
              <w:jc w:val="right"/>
              <w:rPr>
                <w:rFonts w:cs="Times New Roman"/>
                <w:sz w:val="15"/>
                <w:szCs w:val="15"/>
              </w:rPr>
            </w:pPr>
            <w:r>
              <w:rPr>
                <w:rFonts w:cs="Times New Roman" w:hint="eastAsia"/>
                <w:sz w:val="15"/>
                <w:szCs w:val="15"/>
              </w:rPr>
              <w:t>8.83%</w:t>
            </w:r>
          </w:p>
        </w:tc>
        <w:tc>
          <w:tcPr>
            <w:tcW w:w="99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sz w:val="15"/>
                <w:szCs w:val="15"/>
              </w:rPr>
            </w:pPr>
            <w:r>
              <w:rPr>
                <w:rFonts w:cs="Times New Roman"/>
                <w:sz w:val="15"/>
                <w:szCs w:val="15"/>
              </w:rPr>
              <w:t>190,998,745.57</w:t>
            </w:r>
          </w:p>
        </w:tc>
        <w:tc>
          <w:tcPr>
            <w:tcW w:w="9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189,450,604.67</w:t>
            </w:r>
          </w:p>
        </w:tc>
        <w:tc>
          <w:tcPr>
            <w:tcW w:w="59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100.00%</w:t>
            </w:r>
          </w:p>
        </w:tc>
        <w:tc>
          <w:tcPr>
            <w:tcW w:w="9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18,973,021.49</w:t>
            </w:r>
          </w:p>
        </w:tc>
        <w:tc>
          <w:tcPr>
            <w:tcW w:w="65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F53C6">
            <w:pPr>
              <w:jc w:val="right"/>
              <w:rPr>
                <w:rFonts w:cs="Times New Roman"/>
                <w:sz w:val="15"/>
                <w:szCs w:val="15"/>
              </w:rPr>
            </w:pPr>
            <w:r>
              <w:rPr>
                <w:rFonts w:cs="Times New Roman" w:hint="eastAsia"/>
                <w:sz w:val="15"/>
                <w:szCs w:val="15"/>
              </w:rPr>
              <w:t>10.01%</w:t>
            </w:r>
          </w:p>
        </w:tc>
        <w:tc>
          <w:tcPr>
            <w:tcW w:w="994"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sz w:val="15"/>
                <w:szCs w:val="15"/>
              </w:rPr>
            </w:pPr>
            <w:r>
              <w:rPr>
                <w:rFonts w:cs="Times New Roman"/>
                <w:sz w:val="15"/>
                <w:szCs w:val="15"/>
              </w:rPr>
              <w:t>170,477,583.18</w:t>
            </w:r>
          </w:p>
        </w:tc>
      </w:tr>
    </w:tbl>
    <w:p w:rsidR="00A9288A" w:rsidRDefault="007A4434">
      <w:pPr>
        <w:jc w:val="left"/>
        <w:rPr>
          <w:rFonts w:eastAsia="Times New Roman" w:cs="Times New Roman"/>
        </w:rPr>
      </w:pPr>
      <w:r>
        <w:rPr>
          <w:rFonts w:hint="eastAsia"/>
        </w:rPr>
        <w:t>期末单项金额重大并单项计提坏账准备的应收账款：</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组合中，按账龄分析法计提坏账准备的应收账款：</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2493"/>
        <w:gridCol w:w="2295"/>
        <w:gridCol w:w="2390"/>
        <w:gridCol w:w="2390"/>
      </w:tblGrid>
      <w:tr w:rsidR="00A9288A">
        <w:tc>
          <w:tcPr>
            <w:tcW w:w="249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账龄</w:t>
            </w:r>
          </w:p>
        </w:tc>
        <w:tc>
          <w:tcPr>
            <w:tcW w:w="7075"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r>
      <w:tr w:rsidR="00A9288A">
        <w:tc>
          <w:tcPr>
            <w:tcW w:w="2493"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229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应收账款</w:t>
            </w:r>
          </w:p>
        </w:tc>
        <w:tc>
          <w:tcPr>
            <w:tcW w:w="23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坏账准备</w:t>
            </w:r>
          </w:p>
        </w:tc>
        <w:tc>
          <w:tcPr>
            <w:tcW w:w="23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计提比例</w:t>
            </w:r>
          </w:p>
        </w:tc>
      </w:tr>
      <w:tr w:rsidR="00A9288A">
        <w:tc>
          <w:tcPr>
            <w:tcW w:w="9568"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年以内分项</w:t>
            </w:r>
          </w:p>
        </w:tc>
      </w:tr>
      <w:tr w:rsidR="00A9288A">
        <w:tc>
          <w:tcPr>
            <w:tcW w:w="24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年以内小计</w:t>
            </w:r>
          </w:p>
        </w:tc>
        <w:tc>
          <w:tcPr>
            <w:tcW w:w="22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72,576,639.63</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3,628,831.98</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5.00%</w:t>
            </w:r>
          </w:p>
        </w:tc>
      </w:tr>
      <w:tr w:rsidR="00A9288A">
        <w:tc>
          <w:tcPr>
            <w:tcW w:w="24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至</w:t>
            </w:r>
            <w:r>
              <w:rPr>
                <w:rFonts w:cs="Times New Roman"/>
              </w:rPr>
              <w:t>2</w:t>
            </w:r>
            <w:r>
              <w:rPr>
                <w:rFonts w:hint="eastAsia"/>
              </w:rPr>
              <w:t>年</w:t>
            </w:r>
          </w:p>
        </w:tc>
        <w:tc>
          <w:tcPr>
            <w:tcW w:w="22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25,198,204.70</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2,519,820.47</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w:t>
            </w:r>
          </w:p>
        </w:tc>
      </w:tr>
      <w:tr w:rsidR="00A9288A">
        <w:tc>
          <w:tcPr>
            <w:tcW w:w="24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2</w:t>
            </w:r>
            <w:r>
              <w:rPr>
                <w:rFonts w:hint="eastAsia"/>
              </w:rPr>
              <w:t>至</w:t>
            </w:r>
            <w:r>
              <w:rPr>
                <w:rFonts w:cs="Times New Roman"/>
              </w:rPr>
              <w:t>3</w:t>
            </w:r>
            <w:r>
              <w:rPr>
                <w:rFonts w:hint="eastAsia"/>
              </w:rPr>
              <w:t>年</w:t>
            </w:r>
          </w:p>
        </w:tc>
        <w:tc>
          <w:tcPr>
            <w:tcW w:w="22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9,500,151.59</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2,850,045.48</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30.00%</w:t>
            </w:r>
          </w:p>
        </w:tc>
      </w:tr>
      <w:tr w:rsidR="00A9288A">
        <w:tc>
          <w:tcPr>
            <w:tcW w:w="24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3</w:t>
            </w:r>
            <w:r>
              <w:rPr>
                <w:rFonts w:hint="eastAsia"/>
              </w:rPr>
              <w:t>至</w:t>
            </w:r>
            <w:r>
              <w:rPr>
                <w:rFonts w:cs="Times New Roman"/>
              </w:rPr>
              <w:t>4</w:t>
            </w:r>
            <w:r>
              <w:rPr>
                <w:rFonts w:hint="eastAsia"/>
              </w:rPr>
              <w:t>年</w:t>
            </w:r>
          </w:p>
        </w:tc>
        <w:tc>
          <w:tcPr>
            <w:tcW w:w="22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10,649,294.94</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5,324,647.47</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50.00%</w:t>
            </w:r>
          </w:p>
        </w:tc>
      </w:tr>
      <w:tr w:rsidR="00A9288A">
        <w:tc>
          <w:tcPr>
            <w:tcW w:w="24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4</w:t>
            </w:r>
            <w:r>
              <w:rPr>
                <w:rFonts w:hint="eastAsia"/>
              </w:rPr>
              <w:t>至</w:t>
            </w:r>
            <w:r>
              <w:rPr>
                <w:rFonts w:cs="Times New Roman"/>
              </w:rPr>
              <w:t>5</w:t>
            </w:r>
            <w:r>
              <w:rPr>
                <w:rFonts w:hint="eastAsia"/>
              </w:rPr>
              <w:t>年</w:t>
            </w:r>
          </w:p>
        </w:tc>
        <w:tc>
          <w:tcPr>
            <w:tcW w:w="22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1,765,066.89</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1,412,053.51</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80.00%</w:t>
            </w:r>
          </w:p>
        </w:tc>
      </w:tr>
      <w:tr w:rsidR="00A9288A">
        <w:tc>
          <w:tcPr>
            <w:tcW w:w="24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5</w:t>
            </w:r>
            <w:r>
              <w:rPr>
                <w:rFonts w:hint="eastAsia"/>
              </w:rPr>
              <w:t>年以上</w:t>
            </w:r>
          </w:p>
        </w:tc>
        <w:tc>
          <w:tcPr>
            <w:tcW w:w="22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1,747,098.97</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1,747,098.97</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w:t>
            </w:r>
          </w:p>
        </w:tc>
      </w:tr>
      <w:tr w:rsidR="00A9288A">
        <w:tc>
          <w:tcPr>
            <w:tcW w:w="24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22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121,436,456.72</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17,482,497.88</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bl>
    <w:p w:rsidR="00A9288A" w:rsidRDefault="007A4434">
      <w:pPr>
        <w:jc w:val="left"/>
        <w:rPr>
          <w:rFonts w:eastAsia="Times New Roman" w:cs="Times New Roman"/>
        </w:rPr>
      </w:pPr>
      <w:r>
        <w:rPr>
          <w:rFonts w:hint="eastAsia"/>
        </w:rPr>
        <w:t>确定该组合依据的说明：</w:t>
      </w:r>
    </w:p>
    <w:p w:rsidR="00A9288A" w:rsidRDefault="007A4434">
      <w:pPr>
        <w:jc w:val="left"/>
        <w:rPr>
          <w:rFonts w:eastAsia="Times New Roman" w:cs="Times New Roman"/>
        </w:rPr>
      </w:pPr>
      <w:r>
        <w:rPr>
          <w:rFonts w:hint="eastAsia"/>
        </w:rPr>
        <w:t>组合中，采用余额百分比法计提坏账准备的应收账款：</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组合中，采用其他方法计提坏账准备的应收账款：</w:t>
      </w:r>
    </w:p>
    <w:tbl>
      <w:tblPr>
        <w:tblW w:w="0" w:type="auto"/>
        <w:tblInd w:w="-8" w:type="dxa"/>
        <w:tblBorders>
          <w:top w:val="single" w:sz="8" w:space="0" w:color="auto"/>
          <w:left w:val="single" w:sz="6" w:space="0" w:color="auto"/>
          <w:bottom w:val="single" w:sz="8" w:space="0" w:color="auto"/>
          <w:right w:val="single" w:sz="6" w:space="0" w:color="auto"/>
          <w:insideH w:val="single" w:sz="8" w:space="0" w:color="auto"/>
          <w:insideV w:val="single" w:sz="6" w:space="0" w:color="auto"/>
        </w:tblBorders>
        <w:tblLayout w:type="fixed"/>
        <w:tblCellMar>
          <w:top w:w="10" w:type="dxa"/>
          <w:left w:w="10" w:type="dxa"/>
          <w:bottom w:w="10" w:type="dxa"/>
          <w:right w:w="10" w:type="dxa"/>
        </w:tblCellMar>
        <w:tblLook w:val="0000" w:firstRow="0" w:lastRow="0" w:firstColumn="0" w:lastColumn="0" w:noHBand="0" w:noVBand="0"/>
      </w:tblPr>
      <w:tblGrid>
        <w:gridCol w:w="2593"/>
        <w:gridCol w:w="3167"/>
        <w:gridCol w:w="2944"/>
      </w:tblGrid>
      <w:tr w:rsidR="00A9288A">
        <w:tc>
          <w:tcPr>
            <w:tcW w:w="2593" w:type="dxa"/>
          </w:tcPr>
          <w:p w:rsidR="00A9288A" w:rsidRDefault="007A4434">
            <w:pPr>
              <w:autoSpaceDE w:val="0"/>
              <w:autoSpaceDN w:val="0"/>
              <w:adjustRightInd w:val="0"/>
              <w:spacing w:before="0" w:after="0"/>
              <w:rPr>
                <w:rFonts w:eastAsia="Times New Roman" w:cs="Times New Roman"/>
                <w:b/>
                <w:bCs/>
                <w:kern w:val="0"/>
                <w:sz w:val="22"/>
                <w:szCs w:val="22"/>
                <w:lang w:val="zh-CN"/>
              </w:rPr>
            </w:pPr>
            <w:r>
              <w:rPr>
                <w:rFonts w:ascii="宋体" w:hAnsi="宋体" w:hint="eastAsia"/>
                <w:b/>
                <w:bCs/>
                <w:kern w:val="0"/>
                <w:sz w:val="22"/>
                <w:szCs w:val="22"/>
                <w:lang w:val="zh-CN"/>
              </w:rPr>
              <w:t>组合名称</w:t>
            </w:r>
          </w:p>
        </w:tc>
        <w:tc>
          <w:tcPr>
            <w:tcW w:w="3167" w:type="dxa"/>
          </w:tcPr>
          <w:p w:rsidR="00A9288A" w:rsidRDefault="007A4434">
            <w:pPr>
              <w:autoSpaceDE w:val="0"/>
              <w:autoSpaceDN w:val="0"/>
              <w:adjustRightInd w:val="0"/>
              <w:spacing w:before="0" w:after="0"/>
              <w:jc w:val="center"/>
              <w:rPr>
                <w:rFonts w:eastAsia="Times New Roman" w:cs="Times New Roman"/>
                <w:b/>
                <w:bCs/>
                <w:kern w:val="0"/>
                <w:sz w:val="22"/>
                <w:szCs w:val="22"/>
                <w:lang w:val="zh-CN"/>
              </w:rPr>
            </w:pPr>
            <w:r>
              <w:rPr>
                <w:rFonts w:ascii="宋体" w:hAnsi="宋体" w:hint="eastAsia"/>
                <w:b/>
                <w:bCs/>
                <w:kern w:val="0"/>
                <w:sz w:val="22"/>
                <w:szCs w:val="22"/>
                <w:lang w:val="zh-CN"/>
              </w:rPr>
              <w:t>账面余额</w:t>
            </w:r>
          </w:p>
        </w:tc>
        <w:tc>
          <w:tcPr>
            <w:tcW w:w="2944" w:type="dxa"/>
          </w:tcPr>
          <w:p w:rsidR="00A9288A" w:rsidRDefault="007A4434">
            <w:pPr>
              <w:autoSpaceDE w:val="0"/>
              <w:autoSpaceDN w:val="0"/>
              <w:adjustRightInd w:val="0"/>
              <w:spacing w:before="0" w:after="0"/>
              <w:jc w:val="center"/>
              <w:rPr>
                <w:rFonts w:eastAsia="Times New Roman" w:cs="Times New Roman"/>
                <w:b/>
                <w:bCs/>
                <w:kern w:val="0"/>
                <w:sz w:val="22"/>
                <w:szCs w:val="22"/>
                <w:lang w:val="zh-CN"/>
              </w:rPr>
            </w:pPr>
            <w:r>
              <w:rPr>
                <w:rFonts w:ascii="宋体" w:hAnsi="宋体" w:hint="eastAsia"/>
                <w:b/>
                <w:bCs/>
                <w:kern w:val="0"/>
                <w:sz w:val="22"/>
                <w:szCs w:val="22"/>
                <w:lang w:val="zh-CN"/>
              </w:rPr>
              <w:t>坏账金额</w:t>
            </w:r>
          </w:p>
        </w:tc>
      </w:tr>
      <w:tr w:rsidR="00A9288A">
        <w:tc>
          <w:tcPr>
            <w:tcW w:w="2593" w:type="dxa"/>
          </w:tcPr>
          <w:p w:rsidR="00A9288A" w:rsidRDefault="007A4434">
            <w:pPr>
              <w:autoSpaceDE w:val="0"/>
              <w:autoSpaceDN w:val="0"/>
              <w:adjustRightInd w:val="0"/>
              <w:spacing w:before="0" w:after="0"/>
              <w:rPr>
                <w:rFonts w:eastAsia="Times New Roman" w:cs="Times New Roman"/>
                <w:kern w:val="0"/>
                <w:sz w:val="22"/>
                <w:szCs w:val="22"/>
                <w:lang w:val="zh-CN"/>
              </w:rPr>
            </w:pPr>
            <w:r>
              <w:rPr>
                <w:rFonts w:ascii="宋体" w:hAnsi="宋体" w:hint="eastAsia"/>
                <w:kern w:val="0"/>
                <w:sz w:val="22"/>
                <w:szCs w:val="22"/>
                <w:lang w:val="zh-CN"/>
              </w:rPr>
              <w:t>与交易对象关系组合</w:t>
            </w:r>
          </w:p>
        </w:tc>
        <w:tc>
          <w:tcPr>
            <w:tcW w:w="3167" w:type="dxa"/>
          </w:tcPr>
          <w:p w:rsidR="00A9288A" w:rsidRDefault="007A4434">
            <w:pPr>
              <w:autoSpaceDE w:val="0"/>
              <w:autoSpaceDN w:val="0"/>
              <w:adjustRightInd w:val="0"/>
              <w:spacing w:before="0" w:after="0"/>
              <w:jc w:val="right"/>
              <w:rPr>
                <w:rFonts w:eastAsia="Times New Roman" w:cs="Times New Roman"/>
                <w:kern w:val="0"/>
                <w:sz w:val="22"/>
                <w:szCs w:val="22"/>
                <w:lang w:val="zh-CN"/>
              </w:rPr>
            </w:pPr>
            <w:r>
              <w:rPr>
                <w:rFonts w:eastAsia="Times New Roman" w:cs="Times New Roman"/>
                <w:kern w:val="0"/>
                <w:sz w:val="22"/>
                <w:szCs w:val="22"/>
                <w:lang w:val="zh-CN"/>
              </w:rPr>
              <w:t>87,044,786.73</w:t>
            </w:r>
          </w:p>
        </w:tc>
        <w:tc>
          <w:tcPr>
            <w:tcW w:w="2944" w:type="dxa"/>
          </w:tcPr>
          <w:p w:rsidR="00A9288A" w:rsidRDefault="00A9288A">
            <w:pPr>
              <w:autoSpaceDE w:val="0"/>
              <w:autoSpaceDN w:val="0"/>
              <w:adjustRightInd w:val="0"/>
              <w:spacing w:before="0" w:after="0"/>
              <w:jc w:val="right"/>
              <w:rPr>
                <w:rFonts w:eastAsia="Times New Roman" w:cs="Times New Roman"/>
                <w:kern w:val="0"/>
                <w:sz w:val="22"/>
                <w:szCs w:val="22"/>
                <w:lang w:val="zh-CN"/>
              </w:rPr>
            </w:pPr>
          </w:p>
        </w:tc>
      </w:tr>
    </w:tbl>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）本期计提、收回或转回的坏账准备情况</w:t>
      </w:r>
    </w:p>
    <w:p w:rsidR="00A9288A" w:rsidRDefault="007A4434">
      <w:pPr>
        <w:jc w:val="left"/>
        <w:rPr>
          <w:rFonts w:eastAsia="Times New Roman" w:cs="Times New Roman"/>
        </w:rPr>
      </w:pPr>
      <w:r>
        <w:rPr>
          <w:rFonts w:hint="eastAsia"/>
        </w:rPr>
        <w:t>本期计提坏账准备金额</w:t>
      </w:r>
      <w:r>
        <w:rPr>
          <w:rFonts w:cs="Times New Roman"/>
        </w:rPr>
        <w:t>-483,345.61</w:t>
      </w:r>
      <w:r>
        <w:rPr>
          <w:rFonts w:hint="eastAsia"/>
        </w:rPr>
        <w:t>元；本期收回或转回坏账准备金额元。</w:t>
      </w:r>
    </w:p>
    <w:p w:rsidR="00A9288A" w:rsidRDefault="007A4434">
      <w:pPr>
        <w:pStyle w:val="Section"/>
        <w:outlineLvl w:val="3"/>
        <w:rPr>
          <w:rFonts w:eastAsia="Times New Roman" w:cs="Times New Roman"/>
        </w:rPr>
      </w:pPr>
      <w:r>
        <w:rPr>
          <w:rFonts w:hint="eastAsia"/>
        </w:rPr>
        <w:lastRenderedPageBreak/>
        <w:t>（</w:t>
      </w:r>
      <w:r>
        <w:rPr>
          <w:rFonts w:cs="Times New Roman"/>
        </w:rPr>
        <w:t>3</w:t>
      </w:r>
      <w:r>
        <w:rPr>
          <w:rFonts w:hint="eastAsia"/>
        </w:rPr>
        <w:t>）本期实际核销的应收账款情况</w:t>
      </w:r>
    </w:p>
    <w:p w:rsidR="00A9288A" w:rsidRDefault="007A4434">
      <w:pPr>
        <w:pStyle w:val="Section"/>
        <w:outlineLvl w:val="3"/>
        <w:rPr>
          <w:rFonts w:eastAsia="Times New Roman" w:cs="Times New Roman"/>
        </w:rPr>
      </w:pPr>
      <w:r>
        <w:rPr>
          <w:rFonts w:hint="eastAsia"/>
        </w:rPr>
        <w:t>（</w:t>
      </w:r>
      <w:r>
        <w:rPr>
          <w:rFonts w:cs="Times New Roman"/>
        </w:rPr>
        <w:t>4</w:t>
      </w:r>
      <w:r>
        <w:rPr>
          <w:rFonts w:hint="eastAsia"/>
        </w:rPr>
        <w:t>）按欠款方归集的期末余额前五名的应收账款情况</w:t>
      </w:r>
    </w:p>
    <w:tbl>
      <w:tblPr>
        <w:tblW w:w="0" w:type="auto"/>
        <w:tblInd w:w="-10" w:type="dxa"/>
        <w:tblBorders>
          <w:bottom w:val="single" w:sz="8" w:space="0" w:color="auto"/>
          <w:right w:val="single" w:sz="8" w:space="0" w:color="auto"/>
        </w:tblBorders>
        <w:tblLayout w:type="fixed"/>
        <w:tblCellMar>
          <w:top w:w="10" w:type="dxa"/>
          <w:left w:w="10" w:type="dxa"/>
          <w:bottom w:w="10" w:type="dxa"/>
          <w:right w:w="10" w:type="dxa"/>
        </w:tblCellMar>
        <w:tblLook w:val="0000" w:firstRow="0" w:lastRow="0" w:firstColumn="0" w:lastColumn="0" w:noHBand="0" w:noVBand="0"/>
      </w:tblPr>
      <w:tblGrid>
        <w:gridCol w:w="1337"/>
        <w:gridCol w:w="1709"/>
        <w:gridCol w:w="2600"/>
        <w:gridCol w:w="1337"/>
        <w:gridCol w:w="2675"/>
      </w:tblGrid>
      <w:tr w:rsidR="00A9288A">
        <w:tc>
          <w:tcPr>
            <w:tcW w:w="1337" w:type="dxa"/>
            <w:tcBorders>
              <w:top w:val="nil"/>
              <w:left w:val="nil"/>
              <w:bottom w:val="single" w:sz="8" w:space="0" w:color="auto"/>
              <w:right w:val="single" w:sz="8" w:space="0" w:color="auto"/>
            </w:tcBorders>
          </w:tcPr>
          <w:p w:rsidR="00A9288A" w:rsidRDefault="007A4434">
            <w:pPr>
              <w:autoSpaceDE w:val="0"/>
              <w:autoSpaceDN w:val="0"/>
              <w:adjustRightInd w:val="0"/>
              <w:spacing w:before="0" w:after="0"/>
              <w:rPr>
                <w:rFonts w:eastAsia="Times New Roman" w:cs="Times New Roman"/>
                <w:b/>
                <w:bCs/>
                <w:kern w:val="0"/>
                <w:sz w:val="20"/>
                <w:szCs w:val="20"/>
                <w:lang w:val="zh-CN"/>
              </w:rPr>
            </w:pPr>
            <w:r>
              <w:rPr>
                <w:rFonts w:ascii="宋体" w:hAnsi="宋体" w:hint="eastAsia"/>
                <w:b/>
                <w:bCs/>
                <w:kern w:val="0"/>
                <w:sz w:val="20"/>
                <w:szCs w:val="20"/>
                <w:lang w:val="zh-CN"/>
              </w:rPr>
              <w:t>单位名称</w:t>
            </w:r>
          </w:p>
        </w:tc>
        <w:tc>
          <w:tcPr>
            <w:tcW w:w="1709" w:type="dxa"/>
            <w:tcBorders>
              <w:top w:val="nil"/>
              <w:left w:val="nil"/>
              <w:bottom w:val="single" w:sz="8" w:space="0" w:color="auto"/>
              <w:right w:val="single" w:sz="8" w:space="0" w:color="auto"/>
            </w:tcBorders>
          </w:tcPr>
          <w:p w:rsidR="00A9288A" w:rsidRDefault="007A4434">
            <w:pPr>
              <w:autoSpaceDE w:val="0"/>
              <w:autoSpaceDN w:val="0"/>
              <w:adjustRightInd w:val="0"/>
              <w:spacing w:before="0" w:after="0"/>
              <w:jc w:val="center"/>
              <w:rPr>
                <w:rFonts w:eastAsia="Times New Roman" w:cs="Times New Roman"/>
                <w:b/>
                <w:bCs/>
                <w:kern w:val="0"/>
                <w:sz w:val="20"/>
                <w:szCs w:val="20"/>
                <w:lang w:val="zh-CN"/>
              </w:rPr>
            </w:pPr>
            <w:r>
              <w:rPr>
                <w:rFonts w:ascii="宋体" w:hAnsi="宋体" w:hint="eastAsia"/>
                <w:b/>
                <w:bCs/>
                <w:kern w:val="0"/>
                <w:sz w:val="20"/>
                <w:szCs w:val="20"/>
                <w:lang w:val="zh-CN"/>
              </w:rPr>
              <w:t>年末余额</w:t>
            </w:r>
          </w:p>
        </w:tc>
        <w:tc>
          <w:tcPr>
            <w:tcW w:w="2600" w:type="dxa"/>
            <w:tcBorders>
              <w:top w:val="nil"/>
              <w:left w:val="nil"/>
              <w:bottom w:val="single" w:sz="8" w:space="0" w:color="auto"/>
              <w:right w:val="single" w:sz="8" w:space="0" w:color="auto"/>
            </w:tcBorders>
          </w:tcPr>
          <w:p w:rsidR="00A9288A" w:rsidRDefault="007A4434">
            <w:pPr>
              <w:autoSpaceDE w:val="0"/>
              <w:autoSpaceDN w:val="0"/>
              <w:adjustRightInd w:val="0"/>
              <w:spacing w:before="0" w:after="0"/>
              <w:jc w:val="center"/>
              <w:rPr>
                <w:rFonts w:eastAsia="Times New Roman" w:cs="Times New Roman"/>
                <w:b/>
                <w:bCs/>
                <w:kern w:val="0"/>
                <w:sz w:val="20"/>
                <w:szCs w:val="20"/>
                <w:lang w:val="zh-CN"/>
              </w:rPr>
            </w:pPr>
            <w:r>
              <w:rPr>
                <w:rFonts w:ascii="宋体" w:hAnsi="宋体" w:hint="eastAsia"/>
                <w:b/>
                <w:bCs/>
                <w:kern w:val="0"/>
                <w:sz w:val="20"/>
                <w:szCs w:val="20"/>
                <w:lang w:val="zh-CN"/>
              </w:rPr>
              <w:t>账龄</w:t>
            </w:r>
          </w:p>
        </w:tc>
        <w:tc>
          <w:tcPr>
            <w:tcW w:w="1337" w:type="dxa"/>
            <w:tcBorders>
              <w:top w:val="nil"/>
              <w:left w:val="nil"/>
              <w:bottom w:val="single" w:sz="8" w:space="0" w:color="auto"/>
              <w:right w:val="single" w:sz="8" w:space="0" w:color="auto"/>
            </w:tcBorders>
          </w:tcPr>
          <w:p w:rsidR="00A9288A" w:rsidRDefault="007A4434">
            <w:pPr>
              <w:autoSpaceDE w:val="0"/>
              <w:autoSpaceDN w:val="0"/>
              <w:adjustRightInd w:val="0"/>
              <w:spacing w:before="0" w:after="0"/>
              <w:jc w:val="center"/>
              <w:rPr>
                <w:rFonts w:eastAsia="Times New Roman" w:cs="Times New Roman"/>
                <w:b/>
                <w:bCs/>
                <w:kern w:val="0"/>
                <w:sz w:val="20"/>
                <w:szCs w:val="20"/>
                <w:lang w:val="zh-CN"/>
              </w:rPr>
            </w:pPr>
            <w:r>
              <w:rPr>
                <w:rFonts w:ascii="宋体" w:hAnsi="宋体" w:hint="eastAsia"/>
                <w:b/>
                <w:bCs/>
                <w:kern w:val="0"/>
                <w:sz w:val="20"/>
                <w:szCs w:val="20"/>
                <w:lang w:val="zh-CN"/>
              </w:rPr>
              <w:t>占应收账款年末余额合计数的比例</w:t>
            </w:r>
            <w:r>
              <w:rPr>
                <w:rFonts w:eastAsia="Times New Roman" w:cs="Times New Roman"/>
                <w:b/>
                <w:bCs/>
                <w:kern w:val="0"/>
                <w:sz w:val="20"/>
                <w:szCs w:val="20"/>
                <w:lang w:val="zh-CN"/>
              </w:rPr>
              <w:t>(%)</w:t>
            </w:r>
          </w:p>
        </w:tc>
        <w:tc>
          <w:tcPr>
            <w:tcW w:w="2675" w:type="dxa"/>
            <w:tcBorders>
              <w:top w:val="nil"/>
              <w:left w:val="nil"/>
              <w:bottom w:val="single" w:sz="8" w:space="0" w:color="auto"/>
            </w:tcBorders>
          </w:tcPr>
          <w:p w:rsidR="00A9288A" w:rsidRDefault="007A4434">
            <w:pPr>
              <w:autoSpaceDE w:val="0"/>
              <w:autoSpaceDN w:val="0"/>
              <w:adjustRightInd w:val="0"/>
              <w:spacing w:before="0" w:after="0"/>
              <w:jc w:val="center"/>
              <w:rPr>
                <w:rFonts w:eastAsia="Times New Roman" w:cs="Times New Roman"/>
                <w:b/>
                <w:bCs/>
                <w:kern w:val="0"/>
                <w:sz w:val="20"/>
                <w:szCs w:val="20"/>
                <w:lang w:val="zh-CN"/>
              </w:rPr>
            </w:pPr>
            <w:r>
              <w:rPr>
                <w:rFonts w:ascii="宋体" w:hAnsi="宋体" w:hint="eastAsia"/>
                <w:b/>
                <w:bCs/>
                <w:kern w:val="0"/>
                <w:sz w:val="20"/>
                <w:szCs w:val="20"/>
                <w:lang w:val="zh-CN"/>
              </w:rPr>
              <w:t>坏账准备年末余额</w:t>
            </w:r>
          </w:p>
        </w:tc>
      </w:tr>
      <w:tr w:rsidR="00A9288A">
        <w:tc>
          <w:tcPr>
            <w:tcW w:w="1337" w:type="dxa"/>
            <w:tcBorders>
              <w:top w:val="nil"/>
              <w:left w:val="nil"/>
              <w:bottom w:val="single" w:sz="8" w:space="0" w:color="auto"/>
              <w:right w:val="single" w:sz="8" w:space="0" w:color="auto"/>
            </w:tcBorders>
          </w:tcPr>
          <w:p w:rsidR="00A9288A" w:rsidRDefault="007A4434">
            <w:pPr>
              <w:autoSpaceDE w:val="0"/>
              <w:autoSpaceDN w:val="0"/>
              <w:adjustRightInd w:val="0"/>
              <w:spacing w:before="0" w:after="0"/>
              <w:jc w:val="left"/>
              <w:rPr>
                <w:rFonts w:eastAsia="Times New Roman" w:cs="Times New Roman"/>
                <w:kern w:val="0"/>
                <w:sz w:val="20"/>
                <w:szCs w:val="20"/>
                <w:lang w:val="zh-CN"/>
              </w:rPr>
            </w:pPr>
            <w:r>
              <w:rPr>
                <w:rFonts w:ascii="宋体" w:hAnsi="宋体" w:hint="eastAsia"/>
                <w:kern w:val="0"/>
                <w:sz w:val="20"/>
                <w:szCs w:val="20"/>
                <w:lang w:val="zh-CN"/>
              </w:rPr>
              <w:t>客户一</w:t>
            </w:r>
          </w:p>
        </w:tc>
        <w:tc>
          <w:tcPr>
            <w:tcW w:w="1709" w:type="dxa"/>
            <w:tcBorders>
              <w:top w:val="nil"/>
              <w:left w:val="nil"/>
              <w:bottom w:val="single" w:sz="8" w:space="0" w:color="auto"/>
              <w:right w:val="single" w:sz="8" w:space="0" w:color="auto"/>
            </w:tcBorders>
          </w:tcPr>
          <w:p w:rsidR="00A9288A" w:rsidRDefault="007A4434">
            <w:pPr>
              <w:autoSpaceDE w:val="0"/>
              <w:autoSpaceDN w:val="0"/>
              <w:adjustRightInd w:val="0"/>
              <w:spacing w:before="0" w:after="0"/>
              <w:jc w:val="right"/>
              <w:rPr>
                <w:rFonts w:eastAsia="Times New Roman" w:cs="Times New Roman"/>
                <w:kern w:val="0"/>
                <w:sz w:val="20"/>
                <w:szCs w:val="20"/>
                <w:lang w:val="zh-CN"/>
              </w:rPr>
            </w:pPr>
            <w:r>
              <w:rPr>
                <w:rFonts w:eastAsia="Times New Roman" w:cs="Times New Roman"/>
                <w:kern w:val="0"/>
                <w:sz w:val="20"/>
                <w:szCs w:val="20"/>
                <w:lang w:val="zh-CN"/>
              </w:rPr>
              <w:t>32,007,021.68</w:t>
            </w:r>
          </w:p>
        </w:tc>
        <w:tc>
          <w:tcPr>
            <w:tcW w:w="2600" w:type="dxa"/>
            <w:tcBorders>
              <w:top w:val="nil"/>
              <w:left w:val="nil"/>
              <w:bottom w:val="single" w:sz="8" w:space="0" w:color="auto"/>
              <w:right w:val="single" w:sz="8" w:space="0" w:color="auto"/>
            </w:tcBorders>
          </w:tcPr>
          <w:p w:rsidR="00A9288A" w:rsidRDefault="007A4434">
            <w:pPr>
              <w:autoSpaceDE w:val="0"/>
              <w:autoSpaceDN w:val="0"/>
              <w:adjustRightInd w:val="0"/>
              <w:spacing w:before="0" w:after="0"/>
              <w:jc w:val="right"/>
              <w:rPr>
                <w:rFonts w:eastAsia="Times New Roman" w:cs="Times New Roman"/>
                <w:kern w:val="0"/>
                <w:sz w:val="20"/>
                <w:szCs w:val="20"/>
                <w:lang w:val="zh-CN"/>
              </w:rPr>
            </w:pPr>
            <w:r>
              <w:rPr>
                <w:rFonts w:eastAsia="Times New Roman" w:cs="Times New Roman"/>
                <w:kern w:val="0"/>
                <w:sz w:val="20"/>
                <w:szCs w:val="20"/>
                <w:lang w:val="zh-CN"/>
              </w:rPr>
              <w:t>1</w:t>
            </w:r>
            <w:r>
              <w:rPr>
                <w:rFonts w:ascii="宋体" w:hAnsi="宋体" w:hint="eastAsia"/>
                <w:kern w:val="0"/>
                <w:sz w:val="20"/>
                <w:szCs w:val="20"/>
                <w:lang w:val="zh-CN"/>
              </w:rPr>
              <w:t>年以内</w:t>
            </w:r>
            <w:r>
              <w:rPr>
                <w:rFonts w:eastAsia="Times New Roman" w:cs="Times New Roman"/>
                <w:kern w:val="0"/>
                <w:sz w:val="20"/>
                <w:szCs w:val="20"/>
                <w:lang w:val="zh-CN"/>
              </w:rPr>
              <w:t>32,007,021.68</w:t>
            </w:r>
          </w:p>
        </w:tc>
        <w:tc>
          <w:tcPr>
            <w:tcW w:w="1337" w:type="dxa"/>
            <w:tcBorders>
              <w:top w:val="nil"/>
              <w:left w:val="nil"/>
              <w:bottom w:val="single" w:sz="8" w:space="0" w:color="auto"/>
              <w:right w:val="single" w:sz="8" w:space="0" w:color="auto"/>
            </w:tcBorders>
          </w:tcPr>
          <w:p w:rsidR="00A9288A" w:rsidRDefault="007A4434">
            <w:pPr>
              <w:autoSpaceDE w:val="0"/>
              <w:autoSpaceDN w:val="0"/>
              <w:adjustRightInd w:val="0"/>
              <w:spacing w:before="0" w:after="0"/>
              <w:jc w:val="right"/>
              <w:rPr>
                <w:rFonts w:eastAsia="Times New Roman" w:cs="Times New Roman"/>
                <w:kern w:val="0"/>
                <w:sz w:val="20"/>
                <w:szCs w:val="20"/>
                <w:lang w:val="zh-CN"/>
              </w:rPr>
            </w:pPr>
            <w:r>
              <w:rPr>
                <w:rFonts w:eastAsia="Times New Roman" w:cs="Times New Roman"/>
                <w:kern w:val="0"/>
                <w:sz w:val="20"/>
                <w:szCs w:val="20"/>
                <w:lang w:val="zh-CN"/>
              </w:rPr>
              <w:t>15.28%</w:t>
            </w:r>
          </w:p>
        </w:tc>
        <w:tc>
          <w:tcPr>
            <w:tcW w:w="2675" w:type="dxa"/>
            <w:tcBorders>
              <w:top w:val="nil"/>
              <w:left w:val="nil"/>
              <w:bottom w:val="single" w:sz="8" w:space="0" w:color="auto"/>
            </w:tcBorders>
          </w:tcPr>
          <w:p w:rsidR="00A9288A" w:rsidRDefault="007A4434">
            <w:pPr>
              <w:autoSpaceDE w:val="0"/>
              <w:autoSpaceDN w:val="0"/>
              <w:adjustRightInd w:val="0"/>
              <w:spacing w:before="0" w:after="0"/>
              <w:jc w:val="right"/>
              <w:rPr>
                <w:rFonts w:eastAsia="Times New Roman" w:cs="Times New Roman"/>
                <w:kern w:val="0"/>
                <w:sz w:val="20"/>
                <w:szCs w:val="20"/>
                <w:lang w:val="zh-CN"/>
              </w:rPr>
            </w:pPr>
            <w:r>
              <w:rPr>
                <w:rFonts w:eastAsia="Times New Roman" w:cs="Times New Roman"/>
                <w:kern w:val="0"/>
                <w:sz w:val="20"/>
                <w:szCs w:val="20"/>
                <w:lang w:val="zh-CN"/>
              </w:rPr>
              <w:t>1,354,986.00</w:t>
            </w:r>
          </w:p>
        </w:tc>
      </w:tr>
      <w:tr w:rsidR="00A9288A">
        <w:tc>
          <w:tcPr>
            <w:tcW w:w="1337" w:type="dxa"/>
            <w:tcBorders>
              <w:top w:val="nil"/>
              <w:left w:val="nil"/>
              <w:bottom w:val="single" w:sz="8" w:space="0" w:color="auto"/>
              <w:right w:val="single" w:sz="8" w:space="0" w:color="auto"/>
            </w:tcBorders>
          </w:tcPr>
          <w:p w:rsidR="00A9288A" w:rsidRDefault="007A4434">
            <w:pPr>
              <w:autoSpaceDE w:val="0"/>
              <w:autoSpaceDN w:val="0"/>
              <w:adjustRightInd w:val="0"/>
              <w:spacing w:before="0" w:after="0"/>
              <w:jc w:val="left"/>
              <w:rPr>
                <w:rFonts w:eastAsia="Times New Roman" w:cs="Times New Roman"/>
                <w:kern w:val="0"/>
                <w:sz w:val="20"/>
                <w:szCs w:val="20"/>
                <w:lang w:val="zh-CN"/>
              </w:rPr>
            </w:pPr>
            <w:r>
              <w:rPr>
                <w:rFonts w:ascii="宋体" w:hAnsi="宋体" w:hint="eastAsia"/>
                <w:kern w:val="0"/>
                <w:sz w:val="20"/>
                <w:szCs w:val="20"/>
                <w:lang w:val="zh-CN"/>
              </w:rPr>
              <w:t>客户二</w:t>
            </w:r>
          </w:p>
        </w:tc>
        <w:tc>
          <w:tcPr>
            <w:tcW w:w="1709" w:type="dxa"/>
            <w:tcBorders>
              <w:top w:val="nil"/>
              <w:left w:val="nil"/>
              <w:bottom w:val="single" w:sz="8" w:space="0" w:color="auto"/>
              <w:right w:val="single" w:sz="8" w:space="0" w:color="auto"/>
            </w:tcBorders>
          </w:tcPr>
          <w:p w:rsidR="00A9288A" w:rsidRDefault="007A4434">
            <w:pPr>
              <w:autoSpaceDE w:val="0"/>
              <w:autoSpaceDN w:val="0"/>
              <w:adjustRightInd w:val="0"/>
              <w:spacing w:before="0" w:after="0"/>
              <w:jc w:val="right"/>
              <w:rPr>
                <w:rFonts w:eastAsia="Times New Roman" w:cs="Times New Roman"/>
                <w:kern w:val="0"/>
                <w:sz w:val="20"/>
                <w:szCs w:val="20"/>
                <w:lang w:val="zh-CN"/>
              </w:rPr>
            </w:pPr>
            <w:r>
              <w:rPr>
                <w:rFonts w:eastAsia="Times New Roman" w:cs="Times New Roman"/>
                <w:kern w:val="0"/>
                <w:sz w:val="20"/>
                <w:szCs w:val="20"/>
                <w:lang w:val="zh-CN"/>
              </w:rPr>
              <w:t>22,501,299.68</w:t>
            </w:r>
          </w:p>
        </w:tc>
        <w:tc>
          <w:tcPr>
            <w:tcW w:w="2600" w:type="dxa"/>
            <w:tcBorders>
              <w:top w:val="nil"/>
              <w:left w:val="nil"/>
              <w:bottom w:val="single" w:sz="8" w:space="0" w:color="auto"/>
              <w:right w:val="single" w:sz="8" w:space="0" w:color="auto"/>
            </w:tcBorders>
          </w:tcPr>
          <w:p w:rsidR="00A9288A" w:rsidRDefault="007A4434">
            <w:pPr>
              <w:autoSpaceDE w:val="0"/>
              <w:autoSpaceDN w:val="0"/>
              <w:adjustRightInd w:val="0"/>
              <w:spacing w:before="0" w:after="0"/>
              <w:jc w:val="right"/>
              <w:rPr>
                <w:rFonts w:eastAsia="Times New Roman" w:cs="Times New Roman"/>
                <w:kern w:val="0"/>
                <w:sz w:val="20"/>
                <w:szCs w:val="20"/>
                <w:lang w:val="zh-CN"/>
              </w:rPr>
            </w:pPr>
            <w:r>
              <w:rPr>
                <w:rFonts w:eastAsia="Times New Roman" w:cs="Times New Roman"/>
                <w:kern w:val="0"/>
                <w:sz w:val="20"/>
                <w:szCs w:val="20"/>
                <w:lang w:val="zh-CN"/>
              </w:rPr>
              <w:t>1</w:t>
            </w:r>
            <w:r>
              <w:rPr>
                <w:rFonts w:ascii="宋体" w:hAnsi="宋体" w:hint="eastAsia"/>
                <w:kern w:val="0"/>
                <w:sz w:val="20"/>
                <w:szCs w:val="20"/>
                <w:lang w:val="zh-CN"/>
              </w:rPr>
              <w:t>年内</w:t>
            </w:r>
            <w:r>
              <w:rPr>
                <w:rFonts w:eastAsia="Times New Roman" w:cs="Times New Roman"/>
                <w:kern w:val="0"/>
                <w:sz w:val="20"/>
                <w:szCs w:val="20"/>
                <w:lang w:val="zh-CN"/>
              </w:rPr>
              <w:t>22,501,299.68</w:t>
            </w:r>
          </w:p>
        </w:tc>
        <w:tc>
          <w:tcPr>
            <w:tcW w:w="1337" w:type="dxa"/>
            <w:tcBorders>
              <w:top w:val="nil"/>
              <w:left w:val="nil"/>
              <w:bottom w:val="single" w:sz="8" w:space="0" w:color="auto"/>
              <w:right w:val="single" w:sz="8" w:space="0" w:color="auto"/>
            </w:tcBorders>
          </w:tcPr>
          <w:p w:rsidR="00A9288A" w:rsidRDefault="007A4434">
            <w:pPr>
              <w:autoSpaceDE w:val="0"/>
              <w:autoSpaceDN w:val="0"/>
              <w:adjustRightInd w:val="0"/>
              <w:spacing w:before="0" w:after="0"/>
              <w:jc w:val="right"/>
              <w:rPr>
                <w:rFonts w:eastAsia="Times New Roman" w:cs="Times New Roman"/>
                <w:kern w:val="0"/>
                <w:sz w:val="20"/>
                <w:szCs w:val="20"/>
                <w:lang w:val="zh-CN"/>
              </w:rPr>
            </w:pPr>
            <w:r>
              <w:rPr>
                <w:rFonts w:eastAsia="Times New Roman" w:cs="Times New Roman"/>
                <w:kern w:val="0"/>
                <w:sz w:val="20"/>
                <w:szCs w:val="20"/>
                <w:lang w:val="zh-CN"/>
              </w:rPr>
              <w:t>10.74%</w:t>
            </w:r>
          </w:p>
        </w:tc>
        <w:tc>
          <w:tcPr>
            <w:tcW w:w="2675" w:type="dxa"/>
            <w:tcBorders>
              <w:top w:val="nil"/>
              <w:left w:val="nil"/>
              <w:bottom w:val="single" w:sz="8" w:space="0" w:color="auto"/>
            </w:tcBorders>
          </w:tcPr>
          <w:p w:rsidR="00A9288A" w:rsidRDefault="007A4434">
            <w:pPr>
              <w:autoSpaceDE w:val="0"/>
              <w:autoSpaceDN w:val="0"/>
              <w:adjustRightInd w:val="0"/>
              <w:spacing w:before="0" w:after="0"/>
              <w:jc w:val="right"/>
              <w:rPr>
                <w:rFonts w:eastAsia="Times New Roman" w:cs="Times New Roman"/>
                <w:kern w:val="0"/>
                <w:sz w:val="20"/>
                <w:szCs w:val="20"/>
                <w:lang w:val="zh-CN"/>
              </w:rPr>
            </w:pPr>
            <w:r>
              <w:rPr>
                <w:rFonts w:eastAsia="Times New Roman" w:cs="Times New Roman"/>
                <w:kern w:val="0"/>
                <w:sz w:val="20"/>
                <w:szCs w:val="20"/>
                <w:lang w:val="zh-CN"/>
              </w:rPr>
              <w:t>1,237,500.00</w:t>
            </w:r>
          </w:p>
        </w:tc>
      </w:tr>
      <w:tr w:rsidR="00A9288A">
        <w:tc>
          <w:tcPr>
            <w:tcW w:w="1337" w:type="dxa"/>
            <w:tcBorders>
              <w:top w:val="nil"/>
              <w:left w:val="nil"/>
              <w:bottom w:val="single" w:sz="8" w:space="0" w:color="auto"/>
              <w:right w:val="single" w:sz="8" w:space="0" w:color="auto"/>
            </w:tcBorders>
          </w:tcPr>
          <w:p w:rsidR="00A9288A" w:rsidRDefault="007A4434">
            <w:pPr>
              <w:autoSpaceDE w:val="0"/>
              <w:autoSpaceDN w:val="0"/>
              <w:adjustRightInd w:val="0"/>
              <w:spacing w:before="0" w:after="0"/>
              <w:jc w:val="left"/>
              <w:rPr>
                <w:rFonts w:eastAsia="Times New Roman" w:cs="Times New Roman"/>
                <w:kern w:val="0"/>
                <w:sz w:val="20"/>
                <w:szCs w:val="20"/>
                <w:lang w:val="zh-CN"/>
              </w:rPr>
            </w:pPr>
            <w:r>
              <w:rPr>
                <w:rFonts w:ascii="宋体" w:hAnsi="宋体" w:hint="eastAsia"/>
                <w:kern w:val="0"/>
                <w:sz w:val="20"/>
                <w:szCs w:val="20"/>
                <w:lang w:val="zh-CN"/>
              </w:rPr>
              <w:t>客户三</w:t>
            </w:r>
          </w:p>
        </w:tc>
        <w:tc>
          <w:tcPr>
            <w:tcW w:w="1709" w:type="dxa"/>
            <w:tcBorders>
              <w:top w:val="nil"/>
              <w:left w:val="nil"/>
              <w:bottom w:val="single" w:sz="8" w:space="0" w:color="auto"/>
              <w:right w:val="single" w:sz="8" w:space="0" w:color="auto"/>
            </w:tcBorders>
          </w:tcPr>
          <w:p w:rsidR="00A9288A" w:rsidRDefault="007A4434">
            <w:pPr>
              <w:autoSpaceDE w:val="0"/>
              <w:autoSpaceDN w:val="0"/>
              <w:adjustRightInd w:val="0"/>
              <w:spacing w:before="0" w:after="0"/>
              <w:jc w:val="right"/>
              <w:rPr>
                <w:rFonts w:eastAsia="Times New Roman" w:cs="Times New Roman"/>
                <w:kern w:val="0"/>
                <w:sz w:val="20"/>
                <w:szCs w:val="20"/>
                <w:lang w:val="zh-CN"/>
              </w:rPr>
            </w:pPr>
            <w:r>
              <w:rPr>
                <w:rFonts w:eastAsia="Times New Roman" w:cs="Times New Roman"/>
                <w:kern w:val="0"/>
                <w:sz w:val="20"/>
                <w:szCs w:val="20"/>
                <w:lang w:val="zh-CN"/>
              </w:rPr>
              <w:t>10,352,600.00</w:t>
            </w:r>
          </w:p>
        </w:tc>
        <w:tc>
          <w:tcPr>
            <w:tcW w:w="2600" w:type="dxa"/>
            <w:tcBorders>
              <w:top w:val="nil"/>
              <w:left w:val="nil"/>
              <w:bottom w:val="single" w:sz="8" w:space="0" w:color="auto"/>
              <w:right w:val="single" w:sz="8" w:space="0" w:color="auto"/>
            </w:tcBorders>
          </w:tcPr>
          <w:p w:rsidR="00A9288A" w:rsidRDefault="007A4434">
            <w:pPr>
              <w:autoSpaceDE w:val="0"/>
              <w:autoSpaceDN w:val="0"/>
              <w:adjustRightInd w:val="0"/>
              <w:spacing w:before="0" w:after="0"/>
              <w:jc w:val="right"/>
              <w:rPr>
                <w:rFonts w:eastAsia="Times New Roman" w:cs="Times New Roman"/>
                <w:kern w:val="0"/>
                <w:sz w:val="20"/>
                <w:szCs w:val="20"/>
                <w:lang w:val="zh-CN"/>
              </w:rPr>
            </w:pPr>
            <w:r>
              <w:rPr>
                <w:rFonts w:eastAsia="Times New Roman" w:cs="Times New Roman"/>
                <w:kern w:val="0"/>
                <w:sz w:val="20"/>
                <w:szCs w:val="20"/>
                <w:lang w:val="zh-CN"/>
              </w:rPr>
              <w:t>1</w:t>
            </w:r>
            <w:r>
              <w:rPr>
                <w:rFonts w:ascii="宋体" w:hAnsi="宋体" w:hint="eastAsia"/>
                <w:kern w:val="0"/>
                <w:sz w:val="20"/>
                <w:szCs w:val="20"/>
                <w:lang w:val="zh-CN"/>
              </w:rPr>
              <w:t>年以内</w:t>
            </w:r>
            <w:r>
              <w:rPr>
                <w:rFonts w:eastAsia="Times New Roman" w:cs="Times New Roman"/>
                <w:kern w:val="0"/>
                <w:sz w:val="20"/>
                <w:szCs w:val="20"/>
                <w:lang w:val="zh-CN"/>
              </w:rPr>
              <w:t>4,242,000.00</w:t>
            </w:r>
            <w:r>
              <w:rPr>
                <w:rFonts w:ascii="宋体" w:hAnsi="宋体" w:hint="eastAsia"/>
                <w:kern w:val="0"/>
                <w:sz w:val="20"/>
                <w:szCs w:val="20"/>
                <w:lang w:val="zh-CN"/>
              </w:rPr>
              <w:t>；</w:t>
            </w:r>
            <w:r>
              <w:rPr>
                <w:rFonts w:eastAsia="Times New Roman" w:cs="Times New Roman"/>
                <w:kern w:val="0"/>
                <w:sz w:val="20"/>
                <w:szCs w:val="20"/>
                <w:lang w:val="zh-CN"/>
              </w:rPr>
              <w:t>1-2</w:t>
            </w:r>
            <w:r>
              <w:rPr>
                <w:rFonts w:ascii="宋体" w:hAnsi="宋体" w:hint="eastAsia"/>
                <w:kern w:val="0"/>
                <w:sz w:val="20"/>
                <w:szCs w:val="20"/>
                <w:lang w:val="zh-CN"/>
              </w:rPr>
              <w:t>年</w:t>
            </w:r>
            <w:r>
              <w:rPr>
                <w:rFonts w:eastAsia="Times New Roman" w:cs="Times New Roman"/>
                <w:kern w:val="0"/>
                <w:sz w:val="20"/>
                <w:szCs w:val="20"/>
                <w:lang w:val="zh-CN"/>
              </w:rPr>
              <w:t>6,110,600.00</w:t>
            </w:r>
          </w:p>
        </w:tc>
        <w:tc>
          <w:tcPr>
            <w:tcW w:w="1337" w:type="dxa"/>
            <w:tcBorders>
              <w:top w:val="nil"/>
              <w:left w:val="nil"/>
              <w:bottom w:val="single" w:sz="8" w:space="0" w:color="auto"/>
              <w:right w:val="single" w:sz="8" w:space="0" w:color="auto"/>
            </w:tcBorders>
          </w:tcPr>
          <w:p w:rsidR="00A9288A" w:rsidRDefault="007A4434">
            <w:pPr>
              <w:autoSpaceDE w:val="0"/>
              <w:autoSpaceDN w:val="0"/>
              <w:adjustRightInd w:val="0"/>
              <w:spacing w:before="0" w:after="0"/>
              <w:jc w:val="right"/>
              <w:rPr>
                <w:rFonts w:eastAsia="Times New Roman" w:cs="Times New Roman"/>
                <w:kern w:val="0"/>
                <w:sz w:val="20"/>
                <w:szCs w:val="20"/>
                <w:lang w:val="zh-CN"/>
              </w:rPr>
            </w:pPr>
            <w:r>
              <w:rPr>
                <w:rFonts w:eastAsia="Times New Roman" w:cs="Times New Roman"/>
                <w:kern w:val="0"/>
                <w:sz w:val="20"/>
                <w:szCs w:val="20"/>
                <w:lang w:val="zh-CN"/>
              </w:rPr>
              <w:t>4.94%</w:t>
            </w:r>
          </w:p>
        </w:tc>
        <w:tc>
          <w:tcPr>
            <w:tcW w:w="2675" w:type="dxa"/>
            <w:tcBorders>
              <w:top w:val="nil"/>
              <w:left w:val="nil"/>
              <w:bottom w:val="single" w:sz="8" w:space="0" w:color="auto"/>
            </w:tcBorders>
          </w:tcPr>
          <w:p w:rsidR="00A9288A" w:rsidRDefault="007A4434">
            <w:pPr>
              <w:autoSpaceDE w:val="0"/>
              <w:autoSpaceDN w:val="0"/>
              <w:adjustRightInd w:val="0"/>
              <w:spacing w:before="0" w:after="0"/>
              <w:jc w:val="right"/>
              <w:rPr>
                <w:rFonts w:eastAsia="Times New Roman" w:cs="Times New Roman"/>
                <w:kern w:val="0"/>
                <w:sz w:val="20"/>
                <w:szCs w:val="20"/>
                <w:lang w:val="zh-CN"/>
              </w:rPr>
            </w:pPr>
            <w:r>
              <w:rPr>
                <w:rFonts w:eastAsia="Times New Roman" w:cs="Times New Roman"/>
                <w:kern w:val="0"/>
                <w:sz w:val="20"/>
                <w:szCs w:val="20"/>
                <w:lang w:val="zh-CN"/>
              </w:rPr>
              <w:t>823,160.00</w:t>
            </w:r>
          </w:p>
        </w:tc>
      </w:tr>
      <w:tr w:rsidR="00A9288A">
        <w:tc>
          <w:tcPr>
            <w:tcW w:w="1337" w:type="dxa"/>
            <w:tcBorders>
              <w:top w:val="nil"/>
              <w:left w:val="nil"/>
              <w:bottom w:val="single" w:sz="8" w:space="0" w:color="auto"/>
              <w:right w:val="single" w:sz="8" w:space="0" w:color="auto"/>
            </w:tcBorders>
          </w:tcPr>
          <w:p w:rsidR="00A9288A" w:rsidRDefault="007A4434">
            <w:pPr>
              <w:autoSpaceDE w:val="0"/>
              <w:autoSpaceDN w:val="0"/>
              <w:adjustRightInd w:val="0"/>
              <w:spacing w:before="0" w:after="0"/>
              <w:jc w:val="left"/>
              <w:rPr>
                <w:rFonts w:eastAsia="Times New Roman" w:cs="Times New Roman"/>
                <w:kern w:val="0"/>
                <w:sz w:val="20"/>
                <w:szCs w:val="20"/>
                <w:lang w:val="zh-CN"/>
              </w:rPr>
            </w:pPr>
            <w:r>
              <w:rPr>
                <w:rFonts w:ascii="宋体" w:hAnsi="宋体" w:hint="eastAsia"/>
                <w:kern w:val="0"/>
                <w:sz w:val="20"/>
                <w:szCs w:val="20"/>
                <w:lang w:val="zh-CN"/>
              </w:rPr>
              <w:t>客户四</w:t>
            </w:r>
          </w:p>
        </w:tc>
        <w:tc>
          <w:tcPr>
            <w:tcW w:w="1709" w:type="dxa"/>
            <w:tcBorders>
              <w:top w:val="nil"/>
              <w:left w:val="nil"/>
              <w:bottom w:val="single" w:sz="8" w:space="0" w:color="auto"/>
              <w:right w:val="single" w:sz="8" w:space="0" w:color="auto"/>
            </w:tcBorders>
          </w:tcPr>
          <w:p w:rsidR="00A9288A" w:rsidRDefault="007A4434">
            <w:pPr>
              <w:autoSpaceDE w:val="0"/>
              <w:autoSpaceDN w:val="0"/>
              <w:adjustRightInd w:val="0"/>
              <w:spacing w:before="0" w:after="0"/>
              <w:jc w:val="right"/>
              <w:rPr>
                <w:rFonts w:eastAsia="Times New Roman" w:cs="Times New Roman"/>
                <w:kern w:val="0"/>
                <w:sz w:val="20"/>
                <w:szCs w:val="20"/>
                <w:lang w:val="zh-CN"/>
              </w:rPr>
            </w:pPr>
            <w:r>
              <w:rPr>
                <w:rFonts w:eastAsia="Times New Roman" w:cs="Times New Roman"/>
                <w:kern w:val="0"/>
                <w:sz w:val="20"/>
                <w:szCs w:val="20"/>
                <w:lang w:val="zh-CN"/>
              </w:rPr>
              <w:t>7,378,500.00</w:t>
            </w:r>
          </w:p>
        </w:tc>
        <w:tc>
          <w:tcPr>
            <w:tcW w:w="2600" w:type="dxa"/>
            <w:tcBorders>
              <w:top w:val="nil"/>
              <w:left w:val="nil"/>
              <w:bottom w:val="single" w:sz="8" w:space="0" w:color="auto"/>
              <w:right w:val="single" w:sz="8" w:space="0" w:color="auto"/>
            </w:tcBorders>
          </w:tcPr>
          <w:p w:rsidR="00A9288A" w:rsidRDefault="007A4434">
            <w:pPr>
              <w:autoSpaceDE w:val="0"/>
              <w:autoSpaceDN w:val="0"/>
              <w:adjustRightInd w:val="0"/>
              <w:spacing w:before="0" w:after="0"/>
              <w:jc w:val="right"/>
              <w:rPr>
                <w:rFonts w:eastAsia="Times New Roman" w:cs="Times New Roman"/>
                <w:kern w:val="0"/>
                <w:sz w:val="20"/>
                <w:szCs w:val="20"/>
                <w:lang w:val="zh-CN"/>
              </w:rPr>
            </w:pPr>
            <w:r>
              <w:rPr>
                <w:rFonts w:eastAsia="Times New Roman" w:cs="Times New Roman"/>
                <w:kern w:val="0"/>
                <w:sz w:val="20"/>
                <w:szCs w:val="20"/>
                <w:lang w:val="zh-CN"/>
              </w:rPr>
              <w:t>1</w:t>
            </w:r>
            <w:r>
              <w:rPr>
                <w:rFonts w:ascii="宋体" w:hAnsi="宋体" w:hint="eastAsia"/>
                <w:kern w:val="0"/>
                <w:sz w:val="20"/>
                <w:szCs w:val="20"/>
                <w:lang w:val="zh-CN"/>
              </w:rPr>
              <w:t>年以内</w:t>
            </w:r>
            <w:r>
              <w:rPr>
                <w:rFonts w:eastAsia="Times New Roman" w:cs="Times New Roman"/>
                <w:kern w:val="0"/>
                <w:sz w:val="20"/>
                <w:szCs w:val="20"/>
                <w:lang w:val="zh-CN"/>
              </w:rPr>
              <w:t>5,228,500.00</w:t>
            </w:r>
            <w:r>
              <w:rPr>
                <w:rFonts w:ascii="宋体" w:hAnsi="宋体" w:hint="eastAsia"/>
                <w:kern w:val="0"/>
                <w:sz w:val="20"/>
                <w:szCs w:val="20"/>
                <w:lang w:val="zh-CN"/>
              </w:rPr>
              <w:t>；</w:t>
            </w:r>
            <w:r>
              <w:rPr>
                <w:rFonts w:eastAsia="Times New Roman" w:cs="Times New Roman"/>
                <w:kern w:val="0"/>
                <w:sz w:val="20"/>
                <w:szCs w:val="20"/>
                <w:lang w:val="zh-CN"/>
              </w:rPr>
              <w:t>1-2</w:t>
            </w:r>
            <w:r>
              <w:rPr>
                <w:rFonts w:ascii="宋体" w:hAnsi="宋体" w:hint="eastAsia"/>
                <w:kern w:val="0"/>
                <w:sz w:val="20"/>
                <w:szCs w:val="20"/>
                <w:lang w:val="zh-CN"/>
              </w:rPr>
              <w:t>年</w:t>
            </w:r>
            <w:r>
              <w:rPr>
                <w:rFonts w:eastAsia="Times New Roman" w:cs="Times New Roman"/>
                <w:kern w:val="0"/>
                <w:sz w:val="20"/>
                <w:szCs w:val="20"/>
                <w:lang w:val="zh-CN"/>
              </w:rPr>
              <w:t>2,150,000.00</w:t>
            </w:r>
          </w:p>
        </w:tc>
        <w:tc>
          <w:tcPr>
            <w:tcW w:w="1337" w:type="dxa"/>
            <w:tcBorders>
              <w:top w:val="nil"/>
              <w:left w:val="nil"/>
              <w:bottom w:val="single" w:sz="8" w:space="0" w:color="auto"/>
              <w:right w:val="single" w:sz="8" w:space="0" w:color="auto"/>
            </w:tcBorders>
          </w:tcPr>
          <w:p w:rsidR="00A9288A" w:rsidRDefault="007A4434">
            <w:pPr>
              <w:autoSpaceDE w:val="0"/>
              <w:autoSpaceDN w:val="0"/>
              <w:adjustRightInd w:val="0"/>
              <w:spacing w:before="0" w:after="0"/>
              <w:jc w:val="right"/>
              <w:rPr>
                <w:rFonts w:eastAsia="Times New Roman" w:cs="Times New Roman"/>
                <w:kern w:val="0"/>
                <w:sz w:val="20"/>
                <w:szCs w:val="20"/>
                <w:lang w:val="zh-CN"/>
              </w:rPr>
            </w:pPr>
            <w:r>
              <w:rPr>
                <w:rFonts w:eastAsia="Times New Roman" w:cs="Times New Roman"/>
                <w:kern w:val="0"/>
                <w:sz w:val="20"/>
                <w:szCs w:val="20"/>
                <w:lang w:val="zh-CN"/>
              </w:rPr>
              <w:t>3.52%</w:t>
            </w:r>
          </w:p>
        </w:tc>
        <w:tc>
          <w:tcPr>
            <w:tcW w:w="2675" w:type="dxa"/>
            <w:tcBorders>
              <w:top w:val="nil"/>
              <w:left w:val="nil"/>
              <w:bottom w:val="single" w:sz="8" w:space="0" w:color="auto"/>
            </w:tcBorders>
          </w:tcPr>
          <w:p w:rsidR="00A9288A" w:rsidRDefault="007A4434">
            <w:pPr>
              <w:autoSpaceDE w:val="0"/>
              <w:autoSpaceDN w:val="0"/>
              <w:adjustRightInd w:val="0"/>
              <w:spacing w:before="0" w:after="0"/>
              <w:jc w:val="right"/>
              <w:rPr>
                <w:rFonts w:eastAsia="Times New Roman" w:cs="Times New Roman"/>
                <w:kern w:val="0"/>
                <w:sz w:val="20"/>
                <w:szCs w:val="20"/>
                <w:lang w:val="zh-CN"/>
              </w:rPr>
            </w:pPr>
            <w:r>
              <w:rPr>
                <w:rFonts w:eastAsia="Times New Roman" w:cs="Times New Roman"/>
                <w:kern w:val="0"/>
                <w:sz w:val="20"/>
                <w:szCs w:val="20"/>
                <w:lang w:val="zh-CN"/>
              </w:rPr>
              <w:t>476,425.00</w:t>
            </w:r>
          </w:p>
        </w:tc>
      </w:tr>
      <w:tr w:rsidR="00A9288A">
        <w:tc>
          <w:tcPr>
            <w:tcW w:w="1337" w:type="dxa"/>
            <w:tcBorders>
              <w:top w:val="nil"/>
              <w:left w:val="nil"/>
              <w:bottom w:val="single" w:sz="8" w:space="0" w:color="auto"/>
              <w:right w:val="single" w:sz="8" w:space="0" w:color="auto"/>
            </w:tcBorders>
          </w:tcPr>
          <w:p w:rsidR="00A9288A" w:rsidRDefault="007A4434">
            <w:pPr>
              <w:autoSpaceDE w:val="0"/>
              <w:autoSpaceDN w:val="0"/>
              <w:adjustRightInd w:val="0"/>
              <w:spacing w:before="0" w:after="0"/>
              <w:jc w:val="left"/>
              <w:rPr>
                <w:rFonts w:eastAsia="Times New Roman" w:cs="Times New Roman"/>
                <w:kern w:val="0"/>
                <w:sz w:val="20"/>
                <w:szCs w:val="20"/>
                <w:lang w:val="zh-CN"/>
              </w:rPr>
            </w:pPr>
            <w:r>
              <w:rPr>
                <w:rFonts w:ascii="宋体" w:hAnsi="宋体" w:hint="eastAsia"/>
                <w:kern w:val="0"/>
                <w:sz w:val="20"/>
                <w:szCs w:val="20"/>
                <w:lang w:val="zh-CN"/>
              </w:rPr>
              <w:t>客户五</w:t>
            </w:r>
          </w:p>
        </w:tc>
        <w:tc>
          <w:tcPr>
            <w:tcW w:w="1709" w:type="dxa"/>
            <w:tcBorders>
              <w:top w:val="nil"/>
              <w:left w:val="nil"/>
              <w:bottom w:val="single" w:sz="8" w:space="0" w:color="auto"/>
              <w:right w:val="single" w:sz="8" w:space="0" w:color="auto"/>
            </w:tcBorders>
          </w:tcPr>
          <w:p w:rsidR="00A9288A" w:rsidRDefault="007A4434">
            <w:pPr>
              <w:autoSpaceDE w:val="0"/>
              <w:autoSpaceDN w:val="0"/>
              <w:adjustRightInd w:val="0"/>
              <w:spacing w:before="0" w:after="0"/>
              <w:jc w:val="right"/>
              <w:rPr>
                <w:rFonts w:eastAsia="Times New Roman" w:cs="Times New Roman"/>
                <w:kern w:val="0"/>
                <w:sz w:val="20"/>
                <w:szCs w:val="20"/>
                <w:lang w:val="zh-CN"/>
              </w:rPr>
            </w:pPr>
            <w:r>
              <w:rPr>
                <w:rFonts w:eastAsia="Times New Roman" w:cs="Times New Roman"/>
                <w:kern w:val="0"/>
                <w:sz w:val="20"/>
                <w:szCs w:val="20"/>
                <w:lang w:val="zh-CN"/>
              </w:rPr>
              <w:t>5,110,000.00</w:t>
            </w:r>
          </w:p>
        </w:tc>
        <w:tc>
          <w:tcPr>
            <w:tcW w:w="2600" w:type="dxa"/>
            <w:tcBorders>
              <w:top w:val="nil"/>
              <w:left w:val="nil"/>
              <w:bottom w:val="single" w:sz="8" w:space="0" w:color="auto"/>
              <w:right w:val="single" w:sz="8" w:space="0" w:color="auto"/>
            </w:tcBorders>
          </w:tcPr>
          <w:p w:rsidR="00A9288A" w:rsidRDefault="007A4434">
            <w:pPr>
              <w:autoSpaceDE w:val="0"/>
              <w:autoSpaceDN w:val="0"/>
              <w:adjustRightInd w:val="0"/>
              <w:spacing w:before="0" w:after="0"/>
              <w:jc w:val="right"/>
              <w:rPr>
                <w:rFonts w:eastAsia="Times New Roman" w:cs="Times New Roman"/>
                <w:kern w:val="0"/>
                <w:sz w:val="20"/>
                <w:szCs w:val="20"/>
                <w:lang w:val="zh-CN"/>
              </w:rPr>
            </w:pPr>
            <w:r>
              <w:rPr>
                <w:rFonts w:eastAsia="Times New Roman" w:cs="Times New Roman"/>
                <w:kern w:val="0"/>
                <w:sz w:val="20"/>
                <w:szCs w:val="20"/>
                <w:lang w:val="zh-CN"/>
              </w:rPr>
              <w:t>1</w:t>
            </w:r>
            <w:r>
              <w:rPr>
                <w:rFonts w:ascii="宋体" w:hAnsi="宋体" w:hint="eastAsia"/>
                <w:kern w:val="0"/>
                <w:sz w:val="20"/>
                <w:szCs w:val="20"/>
                <w:lang w:val="zh-CN"/>
              </w:rPr>
              <w:t>年以内</w:t>
            </w:r>
            <w:r>
              <w:rPr>
                <w:rFonts w:eastAsia="Times New Roman" w:cs="Times New Roman"/>
                <w:kern w:val="0"/>
                <w:sz w:val="20"/>
                <w:szCs w:val="20"/>
                <w:lang w:val="zh-CN"/>
              </w:rPr>
              <w:t>0</w:t>
            </w:r>
            <w:r>
              <w:rPr>
                <w:rFonts w:ascii="宋体" w:hAnsi="宋体" w:hint="eastAsia"/>
                <w:kern w:val="0"/>
                <w:sz w:val="20"/>
                <w:szCs w:val="20"/>
                <w:lang w:val="zh-CN"/>
              </w:rPr>
              <w:t>；</w:t>
            </w:r>
            <w:r>
              <w:rPr>
                <w:rFonts w:eastAsia="Times New Roman" w:cs="Times New Roman"/>
                <w:kern w:val="0"/>
                <w:sz w:val="20"/>
                <w:szCs w:val="20"/>
                <w:lang w:val="zh-CN"/>
              </w:rPr>
              <w:t>1-2</w:t>
            </w:r>
            <w:r>
              <w:rPr>
                <w:rFonts w:ascii="宋体" w:hAnsi="宋体" w:hint="eastAsia"/>
                <w:kern w:val="0"/>
                <w:sz w:val="20"/>
                <w:szCs w:val="20"/>
                <w:lang w:val="zh-CN"/>
              </w:rPr>
              <w:t>年</w:t>
            </w:r>
            <w:r>
              <w:rPr>
                <w:rFonts w:eastAsia="Times New Roman" w:cs="Times New Roman"/>
                <w:kern w:val="0"/>
                <w:sz w:val="20"/>
                <w:szCs w:val="20"/>
                <w:lang w:val="zh-CN"/>
              </w:rPr>
              <w:t>5,110,000,00</w:t>
            </w:r>
          </w:p>
        </w:tc>
        <w:tc>
          <w:tcPr>
            <w:tcW w:w="1337" w:type="dxa"/>
            <w:tcBorders>
              <w:top w:val="nil"/>
              <w:left w:val="nil"/>
              <w:bottom w:val="single" w:sz="8" w:space="0" w:color="auto"/>
              <w:right w:val="single" w:sz="8" w:space="0" w:color="auto"/>
            </w:tcBorders>
          </w:tcPr>
          <w:p w:rsidR="00A9288A" w:rsidRDefault="007A4434">
            <w:pPr>
              <w:autoSpaceDE w:val="0"/>
              <w:autoSpaceDN w:val="0"/>
              <w:adjustRightInd w:val="0"/>
              <w:spacing w:before="0" w:after="0"/>
              <w:jc w:val="right"/>
              <w:rPr>
                <w:rFonts w:eastAsia="Times New Roman" w:cs="Times New Roman"/>
                <w:kern w:val="0"/>
                <w:sz w:val="20"/>
                <w:szCs w:val="20"/>
                <w:lang w:val="zh-CN"/>
              </w:rPr>
            </w:pPr>
            <w:r>
              <w:rPr>
                <w:rFonts w:eastAsia="Times New Roman" w:cs="Times New Roman"/>
                <w:kern w:val="0"/>
                <w:sz w:val="20"/>
                <w:szCs w:val="20"/>
                <w:lang w:val="zh-CN"/>
              </w:rPr>
              <w:t>2.44%</w:t>
            </w:r>
          </w:p>
        </w:tc>
        <w:tc>
          <w:tcPr>
            <w:tcW w:w="2675" w:type="dxa"/>
            <w:tcBorders>
              <w:top w:val="nil"/>
              <w:left w:val="nil"/>
              <w:bottom w:val="single" w:sz="8" w:space="0" w:color="auto"/>
            </w:tcBorders>
          </w:tcPr>
          <w:p w:rsidR="00A9288A" w:rsidRDefault="007A4434">
            <w:pPr>
              <w:autoSpaceDE w:val="0"/>
              <w:autoSpaceDN w:val="0"/>
              <w:adjustRightInd w:val="0"/>
              <w:spacing w:before="0" w:after="0"/>
              <w:jc w:val="right"/>
              <w:rPr>
                <w:rFonts w:eastAsia="Times New Roman" w:cs="Times New Roman"/>
                <w:kern w:val="0"/>
                <w:sz w:val="20"/>
                <w:szCs w:val="20"/>
                <w:lang w:val="zh-CN"/>
              </w:rPr>
            </w:pPr>
            <w:r>
              <w:rPr>
                <w:rFonts w:eastAsia="Times New Roman" w:cs="Times New Roman"/>
                <w:kern w:val="0"/>
                <w:sz w:val="20"/>
                <w:szCs w:val="20"/>
                <w:lang w:val="zh-CN"/>
              </w:rPr>
              <w:t>511,000.00</w:t>
            </w:r>
          </w:p>
        </w:tc>
      </w:tr>
      <w:tr w:rsidR="00A9288A">
        <w:tc>
          <w:tcPr>
            <w:tcW w:w="1337" w:type="dxa"/>
            <w:tcBorders>
              <w:top w:val="nil"/>
              <w:left w:val="nil"/>
              <w:bottom w:val="single" w:sz="8" w:space="0" w:color="auto"/>
              <w:right w:val="single" w:sz="8" w:space="0" w:color="auto"/>
            </w:tcBorders>
          </w:tcPr>
          <w:p w:rsidR="00A9288A" w:rsidRDefault="007A4434">
            <w:pPr>
              <w:autoSpaceDE w:val="0"/>
              <w:autoSpaceDN w:val="0"/>
              <w:adjustRightInd w:val="0"/>
              <w:spacing w:before="0" w:after="0"/>
              <w:jc w:val="left"/>
              <w:rPr>
                <w:rFonts w:eastAsia="Times New Roman" w:cs="Times New Roman"/>
                <w:b/>
                <w:bCs/>
                <w:kern w:val="0"/>
                <w:sz w:val="20"/>
                <w:szCs w:val="20"/>
                <w:lang w:val="zh-CN"/>
              </w:rPr>
            </w:pPr>
            <w:r>
              <w:rPr>
                <w:rFonts w:ascii="宋体" w:hAnsi="宋体" w:hint="eastAsia"/>
                <w:b/>
                <w:bCs/>
                <w:kern w:val="0"/>
                <w:sz w:val="20"/>
                <w:szCs w:val="20"/>
                <w:lang w:val="zh-CN"/>
              </w:rPr>
              <w:t>合计</w:t>
            </w:r>
          </w:p>
        </w:tc>
        <w:tc>
          <w:tcPr>
            <w:tcW w:w="1709" w:type="dxa"/>
            <w:tcBorders>
              <w:top w:val="nil"/>
              <w:left w:val="nil"/>
              <w:bottom w:val="single" w:sz="8" w:space="0" w:color="auto"/>
              <w:right w:val="single" w:sz="8" w:space="0" w:color="auto"/>
            </w:tcBorders>
          </w:tcPr>
          <w:p w:rsidR="00A9288A" w:rsidRDefault="007A4434">
            <w:pPr>
              <w:autoSpaceDE w:val="0"/>
              <w:autoSpaceDN w:val="0"/>
              <w:adjustRightInd w:val="0"/>
              <w:spacing w:before="0" w:after="0"/>
              <w:jc w:val="right"/>
              <w:rPr>
                <w:rFonts w:eastAsia="Times New Roman" w:cs="Times New Roman"/>
                <w:b/>
                <w:bCs/>
                <w:kern w:val="0"/>
                <w:sz w:val="20"/>
                <w:szCs w:val="20"/>
                <w:lang w:val="zh-CN"/>
              </w:rPr>
            </w:pPr>
            <w:r>
              <w:rPr>
                <w:rFonts w:eastAsia="Times New Roman" w:cs="Times New Roman"/>
                <w:b/>
                <w:bCs/>
                <w:kern w:val="0"/>
                <w:sz w:val="20"/>
                <w:szCs w:val="20"/>
                <w:lang w:val="zh-CN"/>
              </w:rPr>
              <w:t>77,349,421.36</w:t>
            </w:r>
          </w:p>
        </w:tc>
        <w:tc>
          <w:tcPr>
            <w:tcW w:w="2600" w:type="dxa"/>
            <w:tcBorders>
              <w:top w:val="nil"/>
              <w:left w:val="nil"/>
              <w:bottom w:val="single" w:sz="8" w:space="0" w:color="auto"/>
              <w:right w:val="single" w:sz="8" w:space="0" w:color="auto"/>
            </w:tcBorders>
          </w:tcPr>
          <w:p w:rsidR="00A9288A" w:rsidRDefault="007A4434">
            <w:pPr>
              <w:autoSpaceDE w:val="0"/>
              <w:autoSpaceDN w:val="0"/>
              <w:adjustRightInd w:val="0"/>
              <w:spacing w:before="0" w:after="0"/>
              <w:jc w:val="center"/>
              <w:rPr>
                <w:rFonts w:eastAsia="Times New Roman" w:cs="Times New Roman"/>
                <w:b/>
                <w:bCs/>
                <w:kern w:val="0"/>
                <w:sz w:val="20"/>
                <w:szCs w:val="20"/>
                <w:lang w:val="zh-CN"/>
              </w:rPr>
            </w:pPr>
            <w:r>
              <w:rPr>
                <w:rFonts w:ascii="宋体" w:hAnsi="宋体" w:hint="eastAsia"/>
                <w:b/>
                <w:bCs/>
                <w:kern w:val="0"/>
                <w:sz w:val="20"/>
                <w:szCs w:val="20"/>
                <w:lang w:val="zh-CN"/>
              </w:rPr>
              <w:t xml:space="preserve">　</w:t>
            </w:r>
          </w:p>
        </w:tc>
        <w:tc>
          <w:tcPr>
            <w:tcW w:w="1337" w:type="dxa"/>
            <w:tcBorders>
              <w:top w:val="nil"/>
              <w:left w:val="nil"/>
              <w:bottom w:val="single" w:sz="8" w:space="0" w:color="auto"/>
              <w:right w:val="single" w:sz="8" w:space="0" w:color="auto"/>
            </w:tcBorders>
          </w:tcPr>
          <w:p w:rsidR="00A9288A" w:rsidRDefault="007A4434">
            <w:pPr>
              <w:autoSpaceDE w:val="0"/>
              <w:autoSpaceDN w:val="0"/>
              <w:adjustRightInd w:val="0"/>
              <w:spacing w:before="0" w:after="0"/>
              <w:jc w:val="center"/>
              <w:rPr>
                <w:rFonts w:eastAsia="Times New Roman" w:cs="Times New Roman"/>
                <w:kern w:val="0"/>
                <w:sz w:val="20"/>
                <w:szCs w:val="20"/>
                <w:lang w:val="zh-CN"/>
              </w:rPr>
            </w:pPr>
            <w:r>
              <w:rPr>
                <w:rFonts w:eastAsia="Times New Roman" w:cs="Times New Roman"/>
                <w:kern w:val="0"/>
                <w:sz w:val="20"/>
                <w:szCs w:val="20"/>
                <w:lang w:val="zh-CN"/>
              </w:rPr>
              <w:t>36.92%</w:t>
            </w:r>
          </w:p>
        </w:tc>
        <w:tc>
          <w:tcPr>
            <w:tcW w:w="2675" w:type="dxa"/>
            <w:tcBorders>
              <w:top w:val="nil"/>
              <w:left w:val="nil"/>
              <w:bottom w:val="single" w:sz="8" w:space="0" w:color="auto"/>
            </w:tcBorders>
          </w:tcPr>
          <w:p w:rsidR="00A9288A" w:rsidRDefault="007A4434">
            <w:pPr>
              <w:autoSpaceDE w:val="0"/>
              <w:autoSpaceDN w:val="0"/>
              <w:adjustRightInd w:val="0"/>
              <w:spacing w:before="0" w:after="0"/>
              <w:jc w:val="right"/>
              <w:rPr>
                <w:rFonts w:eastAsia="Times New Roman" w:cs="Times New Roman"/>
                <w:b/>
                <w:bCs/>
                <w:kern w:val="0"/>
                <w:sz w:val="20"/>
                <w:szCs w:val="20"/>
                <w:lang w:val="zh-CN"/>
              </w:rPr>
            </w:pPr>
            <w:r>
              <w:rPr>
                <w:rFonts w:eastAsia="Times New Roman" w:cs="Times New Roman"/>
                <w:b/>
                <w:bCs/>
                <w:kern w:val="0"/>
                <w:sz w:val="20"/>
                <w:szCs w:val="20"/>
                <w:lang w:val="zh-CN"/>
              </w:rPr>
              <w:t>4,403,071.00</w:t>
            </w:r>
          </w:p>
        </w:tc>
      </w:tr>
    </w:tbl>
    <w:p w:rsidR="00A9288A" w:rsidRDefault="00A9288A">
      <w:pPr>
        <w:autoSpaceDE w:val="0"/>
        <w:autoSpaceDN w:val="0"/>
        <w:adjustRightInd w:val="0"/>
        <w:spacing w:before="0" w:after="0"/>
        <w:jc w:val="left"/>
        <w:rPr>
          <w:rFonts w:eastAsia="Times New Roman" w:cs="Times New Roman"/>
          <w:kern w:val="0"/>
          <w:lang w:val="zh-CN"/>
        </w:rPr>
      </w:pPr>
    </w:p>
    <w:p w:rsidR="00A9288A" w:rsidRDefault="007A4434">
      <w:pPr>
        <w:pStyle w:val="Section"/>
        <w:outlineLvl w:val="3"/>
        <w:rPr>
          <w:rFonts w:eastAsia="Times New Roman" w:cs="Times New Roman"/>
        </w:rPr>
      </w:pPr>
      <w:r>
        <w:rPr>
          <w:rFonts w:hint="eastAsia"/>
        </w:rPr>
        <w:t>（</w:t>
      </w:r>
      <w:r>
        <w:rPr>
          <w:rFonts w:cs="Times New Roman"/>
        </w:rPr>
        <w:t>5</w:t>
      </w:r>
      <w:r>
        <w:rPr>
          <w:rFonts w:hint="eastAsia"/>
        </w:rPr>
        <w:t>）因金融资产转移而终止确认的应收账款</w:t>
      </w:r>
    </w:p>
    <w:p w:rsidR="00A9288A" w:rsidRDefault="007A4434">
      <w:pPr>
        <w:pStyle w:val="Section"/>
        <w:outlineLvl w:val="3"/>
        <w:rPr>
          <w:rFonts w:eastAsia="Times New Roman" w:cs="Times New Roman"/>
        </w:rPr>
      </w:pPr>
      <w:r>
        <w:rPr>
          <w:rFonts w:hint="eastAsia"/>
        </w:rPr>
        <w:t>（</w:t>
      </w:r>
      <w:r>
        <w:rPr>
          <w:rFonts w:cs="Times New Roman"/>
        </w:rPr>
        <w:t>6</w:t>
      </w:r>
      <w:r>
        <w:rPr>
          <w:rFonts w:hint="eastAsia"/>
        </w:rPr>
        <w:t>）转移应收账款且继续涉入形成的资产、负债金额</w:t>
      </w:r>
    </w:p>
    <w:p w:rsidR="00A9288A" w:rsidRDefault="007A4434">
      <w:pPr>
        <w:jc w:val="left"/>
        <w:rPr>
          <w:rFonts w:eastAsia="Times New Roman" w:cs="Times New Roman"/>
        </w:rPr>
      </w:pPr>
      <w:r>
        <w:rPr>
          <w:rFonts w:hint="eastAsia"/>
        </w:rPr>
        <w:t>其他说明：</w:t>
      </w:r>
    </w:p>
    <w:p w:rsidR="00A9288A" w:rsidRDefault="007A4434">
      <w:pPr>
        <w:pStyle w:val="Section"/>
        <w:outlineLvl w:val="2"/>
        <w:rPr>
          <w:rFonts w:eastAsia="Times New Roman" w:cs="Times New Roman"/>
        </w:rPr>
      </w:pPr>
      <w:r>
        <w:rPr>
          <w:rFonts w:cs="Times New Roman"/>
        </w:rPr>
        <w:t>2</w:t>
      </w:r>
      <w:r>
        <w:rPr>
          <w:rFonts w:hint="eastAsia"/>
        </w:rPr>
        <w:t>、其他应收款</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）其他应收款分类披露</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33" w:type="dxa"/>
        <w:tblLayout w:type="fixed"/>
        <w:tblCellMar>
          <w:left w:w="28" w:type="dxa"/>
          <w:right w:w="28" w:type="dxa"/>
        </w:tblCellMar>
        <w:tblLook w:val="0000" w:firstRow="0" w:lastRow="0" w:firstColumn="0" w:lastColumn="0" w:noHBand="0" w:noVBand="0"/>
      </w:tblPr>
      <w:tblGrid>
        <w:gridCol w:w="1567"/>
        <w:gridCol w:w="919"/>
        <w:gridCol w:w="683"/>
        <w:gridCol w:w="731"/>
        <w:gridCol w:w="651"/>
        <w:gridCol w:w="919"/>
        <w:gridCol w:w="919"/>
        <w:gridCol w:w="685"/>
        <w:gridCol w:w="844"/>
        <w:gridCol w:w="857"/>
        <w:gridCol w:w="919"/>
      </w:tblGrid>
      <w:tr w:rsidR="00A9288A">
        <w:tc>
          <w:tcPr>
            <w:tcW w:w="1567"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类别</w:t>
            </w:r>
          </w:p>
        </w:tc>
        <w:tc>
          <w:tcPr>
            <w:tcW w:w="3903" w:type="dxa"/>
            <w:gridSpan w:val="5"/>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期末余额</w:t>
            </w:r>
          </w:p>
        </w:tc>
        <w:tc>
          <w:tcPr>
            <w:tcW w:w="4224" w:type="dxa"/>
            <w:gridSpan w:val="5"/>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期初余额</w:t>
            </w:r>
          </w:p>
        </w:tc>
      </w:tr>
      <w:tr w:rsidR="00A9288A">
        <w:tc>
          <w:tcPr>
            <w:tcW w:w="1567"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sz w:val="15"/>
                <w:szCs w:val="15"/>
              </w:rPr>
            </w:pPr>
          </w:p>
        </w:tc>
        <w:tc>
          <w:tcPr>
            <w:tcW w:w="1602"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账面余额</w:t>
            </w:r>
          </w:p>
        </w:tc>
        <w:tc>
          <w:tcPr>
            <w:tcW w:w="1382"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坏账准备</w:t>
            </w:r>
          </w:p>
        </w:tc>
        <w:tc>
          <w:tcPr>
            <w:tcW w:w="919"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账面价值</w:t>
            </w:r>
          </w:p>
        </w:tc>
        <w:tc>
          <w:tcPr>
            <w:tcW w:w="1604"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账面余额</w:t>
            </w:r>
          </w:p>
        </w:tc>
        <w:tc>
          <w:tcPr>
            <w:tcW w:w="1701"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坏账准备</w:t>
            </w:r>
          </w:p>
        </w:tc>
        <w:tc>
          <w:tcPr>
            <w:tcW w:w="919"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账面价值</w:t>
            </w:r>
          </w:p>
        </w:tc>
      </w:tr>
      <w:tr w:rsidR="00A9288A">
        <w:tc>
          <w:tcPr>
            <w:tcW w:w="1567"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sz w:val="15"/>
                <w:szCs w:val="15"/>
              </w:rPr>
            </w:pPr>
          </w:p>
        </w:tc>
        <w:tc>
          <w:tcPr>
            <w:tcW w:w="91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金额</w:t>
            </w:r>
          </w:p>
        </w:tc>
        <w:tc>
          <w:tcPr>
            <w:tcW w:w="68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比例</w:t>
            </w:r>
          </w:p>
        </w:tc>
        <w:tc>
          <w:tcPr>
            <w:tcW w:w="73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金额</w:t>
            </w:r>
          </w:p>
        </w:tc>
        <w:tc>
          <w:tcPr>
            <w:tcW w:w="65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计提比例</w:t>
            </w:r>
          </w:p>
        </w:tc>
        <w:tc>
          <w:tcPr>
            <w:tcW w:w="919"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sz w:val="15"/>
                <w:szCs w:val="15"/>
              </w:rPr>
            </w:pPr>
          </w:p>
        </w:tc>
        <w:tc>
          <w:tcPr>
            <w:tcW w:w="91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金额</w:t>
            </w:r>
          </w:p>
        </w:tc>
        <w:tc>
          <w:tcPr>
            <w:tcW w:w="68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比例</w:t>
            </w:r>
          </w:p>
        </w:tc>
        <w:tc>
          <w:tcPr>
            <w:tcW w:w="84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金额</w:t>
            </w:r>
          </w:p>
        </w:tc>
        <w:tc>
          <w:tcPr>
            <w:tcW w:w="85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sz w:val="15"/>
                <w:szCs w:val="15"/>
              </w:rPr>
            </w:pPr>
            <w:r>
              <w:rPr>
                <w:rFonts w:hint="eastAsia"/>
                <w:sz w:val="15"/>
                <w:szCs w:val="15"/>
              </w:rPr>
              <w:t>计提比例</w:t>
            </w:r>
          </w:p>
        </w:tc>
        <w:tc>
          <w:tcPr>
            <w:tcW w:w="919"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sz w:val="15"/>
                <w:szCs w:val="15"/>
              </w:rPr>
            </w:pPr>
          </w:p>
        </w:tc>
      </w:tr>
      <w:tr w:rsidR="00A9288A">
        <w:tc>
          <w:tcPr>
            <w:tcW w:w="15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sz w:val="15"/>
                <w:szCs w:val="15"/>
              </w:rPr>
            </w:pPr>
            <w:r>
              <w:rPr>
                <w:rFonts w:hint="eastAsia"/>
                <w:sz w:val="15"/>
                <w:szCs w:val="15"/>
              </w:rPr>
              <w:t>按信用风险特征组合计提坏账准备的其他应收款</w:t>
            </w:r>
          </w:p>
        </w:tc>
        <w:tc>
          <w:tcPr>
            <w:tcW w:w="9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32,144,012.88</w:t>
            </w:r>
          </w:p>
        </w:tc>
        <w:tc>
          <w:tcPr>
            <w:tcW w:w="68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99.35%</w:t>
            </w:r>
          </w:p>
        </w:tc>
        <w:tc>
          <w:tcPr>
            <w:tcW w:w="73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206,090.75</w:t>
            </w:r>
          </w:p>
        </w:tc>
        <w:tc>
          <w:tcPr>
            <w:tcW w:w="65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0.64%</w:t>
            </w:r>
          </w:p>
        </w:tc>
        <w:tc>
          <w:tcPr>
            <w:tcW w:w="9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31,937,922.13</w:t>
            </w:r>
          </w:p>
        </w:tc>
        <w:tc>
          <w:tcPr>
            <w:tcW w:w="9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35,932,055.48</w:t>
            </w:r>
          </w:p>
        </w:tc>
        <w:tc>
          <w:tcPr>
            <w:tcW w:w="68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99.42%</w:t>
            </w:r>
          </w:p>
        </w:tc>
        <w:tc>
          <w:tcPr>
            <w:tcW w:w="84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2,194,906.91</w:t>
            </w:r>
          </w:p>
        </w:tc>
        <w:tc>
          <w:tcPr>
            <w:tcW w:w="85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6.11%</w:t>
            </w:r>
          </w:p>
        </w:tc>
        <w:tc>
          <w:tcPr>
            <w:tcW w:w="9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33,737,148.57</w:t>
            </w:r>
          </w:p>
        </w:tc>
      </w:tr>
      <w:tr w:rsidR="00A9288A">
        <w:tc>
          <w:tcPr>
            <w:tcW w:w="15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sz w:val="15"/>
                <w:szCs w:val="15"/>
              </w:rPr>
            </w:pPr>
            <w:r>
              <w:rPr>
                <w:rFonts w:hint="eastAsia"/>
                <w:sz w:val="15"/>
                <w:szCs w:val="15"/>
              </w:rPr>
              <w:t>单项金额不重大但单独计提坏账准备的其他应收款</w:t>
            </w:r>
          </w:p>
        </w:tc>
        <w:tc>
          <w:tcPr>
            <w:tcW w:w="9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208,880.00</w:t>
            </w:r>
          </w:p>
        </w:tc>
        <w:tc>
          <w:tcPr>
            <w:tcW w:w="68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0.65%</w:t>
            </w:r>
          </w:p>
        </w:tc>
        <w:tc>
          <w:tcPr>
            <w:tcW w:w="73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208,880.00</w:t>
            </w:r>
          </w:p>
        </w:tc>
        <w:tc>
          <w:tcPr>
            <w:tcW w:w="65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100.00%</w:t>
            </w:r>
          </w:p>
        </w:tc>
        <w:tc>
          <w:tcPr>
            <w:tcW w:w="9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sz w:val="15"/>
                <w:szCs w:val="15"/>
              </w:rPr>
            </w:pPr>
          </w:p>
        </w:tc>
        <w:tc>
          <w:tcPr>
            <w:tcW w:w="9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208,880.00</w:t>
            </w:r>
          </w:p>
        </w:tc>
        <w:tc>
          <w:tcPr>
            <w:tcW w:w="68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0.58%</w:t>
            </w:r>
          </w:p>
        </w:tc>
        <w:tc>
          <w:tcPr>
            <w:tcW w:w="84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208,880.00</w:t>
            </w:r>
          </w:p>
        </w:tc>
        <w:tc>
          <w:tcPr>
            <w:tcW w:w="85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100.00%</w:t>
            </w:r>
          </w:p>
        </w:tc>
        <w:tc>
          <w:tcPr>
            <w:tcW w:w="9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sz w:val="15"/>
                <w:szCs w:val="15"/>
              </w:rPr>
            </w:pPr>
          </w:p>
        </w:tc>
      </w:tr>
      <w:tr w:rsidR="00A9288A">
        <w:tc>
          <w:tcPr>
            <w:tcW w:w="15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sz w:val="15"/>
                <w:szCs w:val="15"/>
              </w:rPr>
            </w:pPr>
            <w:r>
              <w:rPr>
                <w:rFonts w:hint="eastAsia"/>
                <w:sz w:val="15"/>
                <w:szCs w:val="15"/>
              </w:rPr>
              <w:t>合计</w:t>
            </w:r>
          </w:p>
        </w:tc>
        <w:tc>
          <w:tcPr>
            <w:tcW w:w="9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32,352,892.88</w:t>
            </w:r>
          </w:p>
        </w:tc>
        <w:tc>
          <w:tcPr>
            <w:tcW w:w="68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100.00%</w:t>
            </w:r>
          </w:p>
        </w:tc>
        <w:tc>
          <w:tcPr>
            <w:tcW w:w="73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414,970.75</w:t>
            </w:r>
          </w:p>
        </w:tc>
        <w:tc>
          <w:tcPr>
            <w:tcW w:w="65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F53C6">
            <w:pPr>
              <w:jc w:val="right"/>
              <w:rPr>
                <w:rFonts w:cs="Times New Roman"/>
                <w:sz w:val="15"/>
                <w:szCs w:val="15"/>
              </w:rPr>
            </w:pPr>
            <w:r>
              <w:rPr>
                <w:rFonts w:cs="Times New Roman" w:hint="eastAsia"/>
                <w:sz w:val="15"/>
                <w:szCs w:val="15"/>
              </w:rPr>
              <w:t>1.28%</w:t>
            </w:r>
          </w:p>
        </w:tc>
        <w:tc>
          <w:tcPr>
            <w:tcW w:w="91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sz w:val="15"/>
                <w:szCs w:val="15"/>
              </w:rPr>
            </w:pPr>
            <w:r>
              <w:rPr>
                <w:rFonts w:cs="Times New Roman"/>
                <w:sz w:val="15"/>
                <w:szCs w:val="15"/>
              </w:rPr>
              <w:t>31,937,922.13</w:t>
            </w:r>
          </w:p>
        </w:tc>
        <w:tc>
          <w:tcPr>
            <w:tcW w:w="91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36,140,935.48</w:t>
            </w:r>
          </w:p>
        </w:tc>
        <w:tc>
          <w:tcPr>
            <w:tcW w:w="68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100.00%</w:t>
            </w:r>
          </w:p>
        </w:tc>
        <w:tc>
          <w:tcPr>
            <w:tcW w:w="84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sz w:val="15"/>
                <w:szCs w:val="15"/>
              </w:rPr>
            </w:pPr>
            <w:r>
              <w:rPr>
                <w:rFonts w:cs="Times New Roman"/>
                <w:sz w:val="15"/>
                <w:szCs w:val="15"/>
              </w:rPr>
              <w:t>2,403,786.91</w:t>
            </w:r>
          </w:p>
        </w:tc>
        <w:tc>
          <w:tcPr>
            <w:tcW w:w="85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F53C6">
            <w:pPr>
              <w:jc w:val="right"/>
              <w:rPr>
                <w:rFonts w:cs="Times New Roman"/>
                <w:sz w:val="15"/>
                <w:szCs w:val="15"/>
              </w:rPr>
            </w:pPr>
            <w:r w:rsidRPr="007F53C6">
              <w:rPr>
                <w:rFonts w:cs="Times New Roman"/>
                <w:sz w:val="15"/>
                <w:szCs w:val="15"/>
              </w:rPr>
              <w:t>6.65%</w:t>
            </w:r>
          </w:p>
        </w:tc>
        <w:tc>
          <w:tcPr>
            <w:tcW w:w="91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sz w:val="15"/>
                <w:szCs w:val="15"/>
              </w:rPr>
            </w:pPr>
            <w:r>
              <w:rPr>
                <w:rFonts w:cs="Times New Roman"/>
                <w:sz w:val="15"/>
                <w:szCs w:val="15"/>
              </w:rPr>
              <w:t>33,737,148.57</w:t>
            </w:r>
          </w:p>
        </w:tc>
      </w:tr>
    </w:tbl>
    <w:p w:rsidR="00A9288A" w:rsidRDefault="007A4434">
      <w:pPr>
        <w:jc w:val="left"/>
        <w:rPr>
          <w:rFonts w:eastAsia="Times New Roman" w:cs="Times New Roman"/>
        </w:rPr>
      </w:pPr>
      <w:r>
        <w:rPr>
          <w:rFonts w:hint="eastAsia"/>
        </w:rPr>
        <w:t>期末单项金额重大并单项计提坏账准备的其他应收款：</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组合中，按账龄分析法计提坏账准备的其他应收款：</w:t>
      </w:r>
    </w:p>
    <w:p w:rsidR="00A9288A" w:rsidRDefault="007A4434">
      <w:pPr>
        <w:jc w:val="left"/>
        <w:rPr>
          <w:rFonts w:cs="Times New Roman"/>
        </w:rPr>
      </w:pPr>
      <w:r>
        <w:rPr>
          <w:rFonts w:cs="Times New Roman"/>
        </w:rPr>
        <w:lastRenderedPageBreak/>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2493"/>
        <w:gridCol w:w="2295"/>
        <w:gridCol w:w="2390"/>
        <w:gridCol w:w="2390"/>
      </w:tblGrid>
      <w:tr w:rsidR="00A9288A">
        <w:tc>
          <w:tcPr>
            <w:tcW w:w="249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账龄</w:t>
            </w:r>
          </w:p>
        </w:tc>
        <w:tc>
          <w:tcPr>
            <w:tcW w:w="7075"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r>
      <w:tr w:rsidR="00A9288A">
        <w:tc>
          <w:tcPr>
            <w:tcW w:w="2493"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229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其他应收款</w:t>
            </w:r>
          </w:p>
        </w:tc>
        <w:tc>
          <w:tcPr>
            <w:tcW w:w="23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坏账准备</w:t>
            </w:r>
          </w:p>
        </w:tc>
        <w:tc>
          <w:tcPr>
            <w:tcW w:w="239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计提比例</w:t>
            </w:r>
          </w:p>
        </w:tc>
      </w:tr>
      <w:tr w:rsidR="00A9288A">
        <w:tc>
          <w:tcPr>
            <w:tcW w:w="9568"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年以内分项</w:t>
            </w:r>
          </w:p>
        </w:tc>
      </w:tr>
      <w:tr w:rsidR="00A9288A">
        <w:tc>
          <w:tcPr>
            <w:tcW w:w="24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年以内小计</w:t>
            </w:r>
          </w:p>
        </w:tc>
        <w:tc>
          <w:tcPr>
            <w:tcW w:w="22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910,868.92</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45,543.45</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5.00%</w:t>
            </w:r>
          </w:p>
        </w:tc>
      </w:tr>
      <w:tr w:rsidR="00A9288A">
        <w:tc>
          <w:tcPr>
            <w:tcW w:w="24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1</w:t>
            </w:r>
            <w:r>
              <w:rPr>
                <w:rFonts w:hint="eastAsia"/>
              </w:rPr>
              <w:t>至</w:t>
            </w:r>
            <w:r>
              <w:rPr>
                <w:rFonts w:cs="Times New Roman"/>
              </w:rPr>
              <w:t>2</w:t>
            </w:r>
            <w:r>
              <w:rPr>
                <w:rFonts w:hint="eastAsia"/>
              </w:rPr>
              <w:t>年</w:t>
            </w:r>
          </w:p>
        </w:tc>
        <w:tc>
          <w:tcPr>
            <w:tcW w:w="22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1,137,810.21</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113,781.02</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w:t>
            </w:r>
          </w:p>
        </w:tc>
      </w:tr>
      <w:tr w:rsidR="00A9288A">
        <w:tc>
          <w:tcPr>
            <w:tcW w:w="24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2</w:t>
            </w:r>
            <w:r>
              <w:rPr>
                <w:rFonts w:hint="eastAsia"/>
              </w:rPr>
              <w:t>至</w:t>
            </w:r>
            <w:r>
              <w:rPr>
                <w:rFonts w:cs="Times New Roman"/>
              </w:rPr>
              <w:t>3</w:t>
            </w:r>
            <w:r>
              <w:rPr>
                <w:rFonts w:hint="eastAsia"/>
              </w:rPr>
              <w:t>年</w:t>
            </w:r>
          </w:p>
        </w:tc>
        <w:tc>
          <w:tcPr>
            <w:tcW w:w="22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50,557.86</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15,167.36</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30.00%</w:t>
            </w:r>
          </w:p>
        </w:tc>
      </w:tr>
      <w:tr w:rsidR="00A9288A">
        <w:tc>
          <w:tcPr>
            <w:tcW w:w="24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cs="Times New Roman"/>
              </w:rPr>
              <w:t>3</w:t>
            </w:r>
            <w:r>
              <w:rPr>
                <w:rFonts w:hint="eastAsia"/>
              </w:rPr>
              <w:t>至</w:t>
            </w:r>
            <w:r>
              <w:rPr>
                <w:rFonts w:cs="Times New Roman"/>
              </w:rPr>
              <w:t>4</w:t>
            </w:r>
            <w:r>
              <w:rPr>
                <w:rFonts w:hint="eastAsia"/>
              </w:rPr>
              <w:t>年</w:t>
            </w:r>
          </w:p>
        </w:tc>
        <w:tc>
          <w:tcPr>
            <w:tcW w:w="22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63,197.84</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31,598.92</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50.00%</w:t>
            </w:r>
          </w:p>
        </w:tc>
      </w:tr>
      <w:tr w:rsidR="00A9288A">
        <w:tc>
          <w:tcPr>
            <w:tcW w:w="249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229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2,162,434.83</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206,090.75</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bl>
    <w:p w:rsidR="00A9288A" w:rsidRDefault="007A4434">
      <w:pPr>
        <w:jc w:val="left"/>
        <w:rPr>
          <w:rFonts w:eastAsia="Times New Roman" w:cs="Times New Roman"/>
        </w:rPr>
      </w:pPr>
      <w:r>
        <w:rPr>
          <w:rFonts w:hint="eastAsia"/>
        </w:rPr>
        <w:t>确定该组合依据的说明：</w:t>
      </w:r>
    </w:p>
    <w:p w:rsidR="00A9288A" w:rsidRDefault="007A4434">
      <w:pPr>
        <w:jc w:val="left"/>
        <w:rPr>
          <w:rFonts w:eastAsia="Times New Roman" w:cs="Times New Roman"/>
        </w:rPr>
      </w:pPr>
      <w:r>
        <w:rPr>
          <w:rFonts w:hint="eastAsia"/>
        </w:rPr>
        <w:t>组合中，采用余额百分比法计提坏账准备的其他应收款：</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left"/>
        <w:rPr>
          <w:rFonts w:eastAsia="Times New Roman" w:cs="Times New Roman"/>
        </w:rPr>
      </w:pPr>
      <w:r>
        <w:rPr>
          <w:rFonts w:hint="eastAsia"/>
        </w:rPr>
        <w:t>组合中，采用其他方法计提坏账准备的其他应收款：</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tbl>
      <w:tblPr>
        <w:tblW w:w="0" w:type="auto"/>
        <w:tblBorders>
          <w:bottom w:val="single" w:sz="6" w:space="0" w:color="auto"/>
          <w:right w:val="single" w:sz="6" w:space="0" w:color="auto"/>
        </w:tblBorders>
        <w:tblLayout w:type="fixed"/>
        <w:tblCellMar>
          <w:top w:w="10" w:type="dxa"/>
          <w:left w:w="10" w:type="dxa"/>
          <w:bottom w:w="10" w:type="dxa"/>
          <w:right w:w="10" w:type="dxa"/>
        </w:tblCellMar>
        <w:tblLook w:val="0000" w:firstRow="0" w:lastRow="0" w:firstColumn="0" w:lastColumn="0" w:noHBand="0" w:noVBand="0"/>
      </w:tblPr>
      <w:tblGrid>
        <w:gridCol w:w="4840"/>
        <w:gridCol w:w="1600"/>
        <w:gridCol w:w="1180"/>
      </w:tblGrid>
      <w:tr w:rsidR="00A9288A">
        <w:tc>
          <w:tcPr>
            <w:tcW w:w="4840" w:type="dxa"/>
            <w:tcBorders>
              <w:top w:val="nil"/>
              <w:left w:val="nil"/>
              <w:bottom w:val="single" w:sz="6" w:space="0" w:color="auto"/>
              <w:right w:val="single" w:sz="6" w:space="0" w:color="auto"/>
            </w:tcBorders>
          </w:tcPr>
          <w:p w:rsidR="00A9288A" w:rsidRDefault="007A4434">
            <w:pPr>
              <w:autoSpaceDE w:val="0"/>
              <w:autoSpaceDN w:val="0"/>
              <w:adjustRightInd w:val="0"/>
              <w:spacing w:before="0" w:after="0"/>
              <w:rPr>
                <w:rFonts w:eastAsia="Times New Roman" w:cs="Times New Roman"/>
                <w:b/>
                <w:bCs/>
                <w:kern w:val="0"/>
                <w:sz w:val="22"/>
                <w:szCs w:val="22"/>
                <w:lang w:val="zh-CN"/>
              </w:rPr>
            </w:pPr>
            <w:r>
              <w:rPr>
                <w:rFonts w:ascii="宋体" w:hAnsi="宋体" w:hint="eastAsia"/>
                <w:b/>
                <w:bCs/>
                <w:kern w:val="0"/>
                <w:sz w:val="22"/>
                <w:szCs w:val="22"/>
                <w:lang w:val="zh-CN"/>
              </w:rPr>
              <w:t>组合名称</w:t>
            </w:r>
          </w:p>
        </w:tc>
        <w:tc>
          <w:tcPr>
            <w:tcW w:w="1600" w:type="dxa"/>
            <w:tcBorders>
              <w:top w:val="nil"/>
              <w:left w:val="nil"/>
              <w:bottom w:val="single" w:sz="6" w:space="0" w:color="auto"/>
              <w:right w:val="single" w:sz="6" w:space="0" w:color="auto"/>
            </w:tcBorders>
          </w:tcPr>
          <w:p w:rsidR="00A9288A" w:rsidRDefault="007A4434">
            <w:pPr>
              <w:autoSpaceDE w:val="0"/>
              <w:autoSpaceDN w:val="0"/>
              <w:adjustRightInd w:val="0"/>
              <w:spacing w:before="0" w:after="0"/>
              <w:jc w:val="center"/>
              <w:rPr>
                <w:rFonts w:eastAsia="Times New Roman" w:cs="Times New Roman"/>
                <w:b/>
                <w:bCs/>
                <w:kern w:val="0"/>
                <w:sz w:val="22"/>
                <w:szCs w:val="22"/>
                <w:lang w:val="zh-CN"/>
              </w:rPr>
            </w:pPr>
            <w:r>
              <w:rPr>
                <w:rFonts w:ascii="宋体" w:hAnsi="宋体" w:hint="eastAsia"/>
                <w:b/>
                <w:bCs/>
                <w:kern w:val="0"/>
                <w:sz w:val="22"/>
                <w:szCs w:val="22"/>
                <w:lang w:val="zh-CN"/>
              </w:rPr>
              <w:t>账面余额</w:t>
            </w:r>
          </w:p>
        </w:tc>
        <w:tc>
          <w:tcPr>
            <w:tcW w:w="1180" w:type="dxa"/>
            <w:tcBorders>
              <w:top w:val="nil"/>
              <w:left w:val="nil"/>
              <w:bottom w:val="single" w:sz="6" w:space="0" w:color="auto"/>
            </w:tcBorders>
          </w:tcPr>
          <w:p w:rsidR="00A9288A" w:rsidRDefault="007A4434">
            <w:pPr>
              <w:autoSpaceDE w:val="0"/>
              <w:autoSpaceDN w:val="0"/>
              <w:adjustRightInd w:val="0"/>
              <w:spacing w:before="0" w:after="0"/>
              <w:jc w:val="center"/>
              <w:rPr>
                <w:rFonts w:eastAsia="Times New Roman" w:cs="Times New Roman"/>
                <w:b/>
                <w:bCs/>
                <w:kern w:val="0"/>
                <w:sz w:val="22"/>
                <w:szCs w:val="22"/>
                <w:lang w:val="zh-CN"/>
              </w:rPr>
            </w:pPr>
            <w:r>
              <w:rPr>
                <w:rFonts w:ascii="宋体" w:hAnsi="宋体" w:hint="eastAsia"/>
                <w:b/>
                <w:bCs/>
                <w:kern w:val="0"/>
                <w:sz w:val="22"/>
                <w:szCs w:val="22"/>
                <w:lang w:val="zh-CN"/>
              </w:rPr>
              <w:t>坏账金额</w:t>
            </w:r>
          </w:p>
        </w:tc>
      </w:tr>
      <w:tr w:rsidR="00A9288A">
        <w:tc>
          <w:tcPr>
            <w:tcW w:w="4840" w:type="dxa"/>
            <w:tcBorders>
              <w:top w:val="nil"/>
              <w:left w:val="nil"/>
              <w:bottom w:val="single" w:sz="6" w:space="0" w:color="auto"/>
              <w:right w:val="single" w:sz="6" w:space="0" w:color="auto"/>
            </w:tcBorders>
          </w:tcPr>
          <w:p w:rsidR="00A9288A" w:rsidRDefault="007A4434">
            <w:pPr>
              <w:autoSpaceDE w:val="0"/>
              <w:autoSpaceDN w:val="0"/>
              <w:adjustRightInd w:val="0"/>
              <w:spacing w:before="0" w:after="0"/>
              <w:rPr>
                <w:rFonts w:eastAsia="Times New Roman" w:cs="Times New Roman"/>
                <w:kern w:val="0"/>
                <w:sz w:val="22"/>
                <w:szCs w:val="22"/>
                <w:lang w:val="zh-CN"/>
              </w:rPr>
            </w:pPr>
            <w:r>
              <w:rPr>
                <w:rFonts w:ascii="宋体" w:hAnsi="宋体" w:hint="eastAsia"/>
                <w:kern w:val="0"/>
                <w:sz w:val="22"/>
                <w:szCs w:val="22"/>
                <w:lang w:val="zh-CN"/>
              </w:rPr>
              <w:t>关联方组合</w:t>
            </w:r>
          </w:p>
        </w:tc>
        <w:tc>
          <w:tcPr>
            <w:tcW w:w="1600" w:type="dxa"/>
            <w:tcBorders>
              <w:top w:val="nil"/>
              <w:left w:val="nil"/>
              <w:bottom w:val="single" w:sz="6" w:space="0" w:color="auto"/>
              <w:right w:val="single" w:sz="6" w:space="0" w:color="auto"/>
            </w:tcBorders>
          </w:tcPr>
          <w:p w:rsidR="00A9288A" w:rsidRDefault="007A4434">
            <w:pPr>
              <w:autoSpaceDE w:val="0"/>
              <w:autoSpaceDN w:val="0"/>
              <w:adjustRightInd w:val="0"/>
              <w:spacing w:before="0" w:after="0"/>
              <w:jc w:val="right"/>
              <w:rPr>
                <w:rFonts w:eastAsia="Times New Roman" w:cs="Times New Roman"/>
                <w:kern w:val="0"/>
                <w:sz w:val="22"/>
                <w:szCs w:val="22"/>
                <w:lang w:val="zh-CN"/>
              </w:rPr>
            </w:pPr>
            <w:r>
              <w:rPr>
                <w:rFonts w:eastAsia="Times New Roman" w:cs="Times New Roman"/>
                <w:kern w:val="0"/>
                <w:sz w:val="22"/>
                <w:szCs w:val="22"/>
                <w:lang w:val="en-GB"/>
              </w:rPr>
              <w:t>27,057,575.13</w:t>
            </w:r>
          </w:p>
        </w:tc>
        <w:tc>
          <w:tcPr>
            <w:tcW w:w="1180" w:type="dxa"/>
            <w:tcBorders>
              <w:top w:val="nil"/>
              <w:left w:val="nil"/>
              <w:bottom w:val="single" w:sz="6" w:space="0" w:color="auto"/>
            </w:tcBorders>
          </w:tcPr>
          <w:p w:rsidR="00A9288A" w:rsidRDefault="007A4434">
            <w:pPr>
              <w:autoSpaceDE w:val="0"/>
              <w:autoSpaceDN w:val="0"/>
              <w:adjustRightInd w:val="0"/>
              <w:spacing w:before="0" w:after="0"/>
              <w:jc w:val="right"/>
              <w:rPr>
                <w:rFonts w:eastAsia="Times New Roman" w:cs="Times New Roman"/>
                <w:kern w:val="0"/>
                <w:sz w:val="22"/>
                <w:szCs w:val="22"/>
                <w:lang w:val="zh-CN"/>
              </w:rPr>
            </w:pPr>
            <w:r>
              <w:rPr>
                <w:rFonts w:ascii="宋体" w:hAnsi="宋体" w:hint="eastAsia"/>
                <w:kern w:val="0"/>
                <w:sz w:val="22"/>
                <w:szCs w:val="22"/>
                <w:lang w:val="zh-CN"/>
              </w:rPr>
              <w:t xml:space="preserve">　</w:t>
            </w:r>
          </w:p>
        </w:tc>
      </w:tr>
      <w:tr w:rsidR="00A9288A">
        <w:tc>
          <w:tcPr>
            <w:tcW w:w="4840" w:type="dxa"/>
            <w:tcBorders>
              <w:top w:val="nil"/>
              <w:left w:val="nil"/>
              <w:bottom w:val="single" w:sz="6" w:space="0" w:color="auto"/>
              <w:right w:val="single" w:sz="6" w:space="0" w:color="auto"/>
            </w:tcBorders>
          </w:tcPr>
          <w:p w:rsidR="00A9288A" w:rsidRDefault="007A4434">
            <w:pPr>
              <w:autoSpaceDE w:val="0"/>
              <w:autoSpaceDN w:val="0"/>
              <w:adjustRightInd w:val="0"/>
              <w:spacing w:before="0" w:after="0"/>
              <w:rPr>
                <w:rFonts w:eastAsia="Times New Roman" w:cs="Times New Roman"/>
                <w:kern w:val="0"/>
                <w:sz w:val="22"/>
                <w:szCs w:val="22"/>
                <w:lang w:val="zh-CN"/>
              </w:rPr>
            </w:pPr>
            <w:r>
              <w:rPr>
                <w:rFonts w:ascii="宋体" w:hAnsi="宋体" w:hint="eastAsia"/>
                <w:kern w:val="0"/>
                <w:sz w:val="22"/>
                <w:szCs w:val="22"/>
                <w:lang w:val="zh-CN"/>
              </w:rPr>
              <w:t>款项性质组合</w:t>
            </w:r>
          </w:p>
        </w:tc>
        <w:tc>
          <w:tcPr>
            <w:tcW w:w="1600" w:type="dxa"/>
            <w:tcBorders>
              <w:top w:val="nil"/>
              <w:left w:val="nil"/>
              <w:bottom w:val="single" w:sz="6" w:space="0" w:color="auto"/>
              <w:right w:val="single" w:sz="6" w:space="0" w:color="auto"/>
            </w:tcBorders>
          </w:tcPr>
          <w:p w:rsidR="00A9288A" w:rsidRDefault="007A4434">
            <w:pPr>
              <w:autoSpaceDE w:val="0"/>
              <w:autoSpaceDN w:val="0"/>
              <w:adjustRightInd w:val="0"/>
              <w:spacing w:before="0" w:after="0"/>
              <w:jc w:val="right"/>
              <w:rPr>
                <w:rFonts w:eastAsia="Times New Roman" w:cs="Times New Roman"/>
                <w:kern w:val="0"/>
                <w:sz w:val="22"/>
                <w:szCs w:val="22"/>
                <w:lang w:val="zh-CN"/>
              </w:rPr>
            </w:pPr>
            <w:r>
              <w:rPr>
                <w:rFonts w:eastAsia="Times New Roman" w:cs="Times New Roman"/>
                <w:kern w:val="0"/>
                <w:sz w:val="22"/>
                <w:szCs w:val="22"/>
                <w:lang w:val="en-GB"/>
              </w:rPr>
              <w:t>2,924,002.92</w:t>
            </w:r>
          </w:p>
        </w:tc>
        <w:tc>
          <w:tcPr>
            <w:tcW w:w="1180" w:type="dxa"/>
            <w:tcBorders>
              <w:top w:val="nil"/>
              <w:left w:val="nil"/>
              <w:bottom w:val="single" w:sz="6" w:space="0" w:color="auto"/>
            </w:tcBorders>
          </w:tcPr>
          <w:p w:rsidR="00A9288A" w:rsidRDefault="007A4434">
            <w:pPr>
              <w:autoSpaceDE w:val="0"/>
              <w:autoSpaceDN w:val="0"/>
              <w:adjustRightInd w:val="0"/>
              <w:spacing w:before="0" w:after="0"/>
              <w:jc w:val="right"/>
              <w:rPr>
                <w:rFonts w:eastAsia="Times New Roman" w:cs="Times New Roman"/>
                <w:kern w:val="0"/>
                <w:sz w:val="22"/>
                <w:szCs w:val="22"/>
                <w:lang w:val="zh-CN"/>
              </w:rPr>
            </w:pPr>
            <w:r>
              <w:rPr>
                <w:rFonts w:ascii="宋体" w:hAnsi="宋体" w:hint="eastAsia"/>
                <w:kern w:val="0"/>
                <w:sz w:val="22"/>
                <w:szCs w:val="22"/>
                <w:lang w:val="zh-CN"/>
              </w:rPr>
              <w:t xml:space="preserve">　</w:t>
            </w:r>
          </w:p>
        </w:tc>
      </w:tr>
      <w:tr w:rsidR="00A9288A">
        <w:tc>
          <w:tcPr>
            <w:tcW w:w="4840" w:type="dxa"/>
            <w:tcBorders>
              <w:top w:val="nil"/>
              <w:left w:val="nil"/>
              <w:bottom w:val="single" w:sz="6" w:space="0" w:color="auto"/>
              <w:right w:val="single" w:sz="6" w:space="0" w:color="auto"/>
            </w:tcBorders>
          </w:tcPr>
          <w:p w:rsidR="00A9288A" w:rsidRDefault="007A4434">
            <w:pPr>
              <w:autoSpaceDE w:val="0"/>
              <w:autoSpaceDN w:val="0"/>
              <w:adjustRightInd w:val="0"/>
              <w:spacing w:before="0" w:after="0"/>
              <w:jc w:val="left"/>
              <w:rPr>
                <w:rFonts w:eastAsia="Times New Roman" w:cs="Times New Roman"/>
                <w:b/>
                <w:bCs/>
                <w:kern w:val="0"/>
                <w:sz w:val="22"/>
                <w:szCs w:val="22"/>
                <w:lang w:val="zh-CN"/>
              </w:rPr>
            </w:pPr>
            <w:r>
              <w:rPr>
                <w:rFonts w:ascii="宋体" w:hAnsi="宋体" w:hint="eastAsia"/>
                <w:b/>
                <w:bCs/>
                <w:kern w:val="0"/>
                <w:sz w:val="22"/>
                <w:szCs w:val="22"/>
                <w:lang w:val="zh-CN"/>
              </w:rPr>
              <w:t>合计</w:t>
            </w:r>
          </w:p>
        </w:tc>
        <w:tc>
          <w:tcPr>
            <w:tcW w:w="1600" w:type="dxa"/>
            <w:tcBorders>
              <w:top w:val="nil"/>
              <w:left w:val="nil"/>
              <w:bottom w:val="single" w:sz="6" w:space="0" w:color="auto"/>
              <w:right w:val="single" w:sz="6" w:space="0" w:color="auto"/>
            </w:tcBorders>
          </w:tcPr>
          <w:p w:rsidR="00A9288A" w:rsidRDefault="007A4434">
            <w:pPr>
              <w:autoSpaceDE w:val="0"/>
              <w:autoSpaceDN w:val="0"/>
              <w:adjustRightInd w:val="0"/>
              <w:spacing w:before="0" w:after="0"/>
              <w:jc w:val="right"/>
              <w:rPr>
                <w:rFonts w:eastAsia="Times New Roman" w:cs="Times New Roman"/>
                <w:b/>
                <w:bCs/>
                <w:kern w:val="0"/>
                <w:sz w:val="22"/>
                <w:szCs w:val="22"/>
                <w:lang w:val="zh-CN"/>
              </w:rPr>
            </w:pPr>
            <w:r>
              <w:rPr>
                <w:rFonts w:eastAsia="Times New Roman" w:cs="Times New Roman"/>
                <w:b/>
                <w:bCs/>
                <w:kern w:val="0"/>
                <w:sz w:val="22"/>
                <w:szCs w:val="22"/>
                <w:lang w:val="en-GB"/>
              </w:rPr>
              <w:t>29,981,578.05</w:t>
            </w:r>
          </w:p>
        </w:tc>
        <w:tc>
          <w:tcPr>
            <w:tcW w:w="1180" w:type="dxa"/>
            <w:tcBorders>
              <w:top w:val="nil"/>
              <w:left w:val="nil"/>
              <w:bottom w:val="single" w:sz="6" w:space="0" w:color="auto"/>
            </w:tcBorders>
          </w:tcPr>
          <w:p w:rsidR="00A9288A" w:rsidRDefault="007A4434">
            <w:pPr>
              <w:autoSpaceDE w:val="0"/>
              <w:autoSpaceDN w:val="0"/>
              <w:adjustRightInd w:val="0"/>
              <w:spacing w:before="0" w:after="0"/>
              <w:jc w:val="right"/>
              <w:rPr>
                <w:rFonts w:eastAsia="Times New Roman" w:cs="Times New Roman"/>
                <w:b/>
                <w:bCs/>
                <w:kern w:val="0"/>
                <w:sz w:val="22"/>
                <w:szCs w:val="22"/>
                <w:lang w:val="zh-CN"/>
              </w:rPr>
            </w:pPr>
            <w:r>
              <w:rPr>
                <w:rFonts w:ascii="宋体" w:hAnsi="宋体" w:hint="eastAsia"/>
                <w:b/>
                <w:bCs/>
                <w:kern w:val="0"/>
                <w:sz w:val="22"/>
                <w:szCs w:val="22"/>
                <w:lang w:val="zh-CN"/>
              </w:rPr>
              <w:t xml:space="preserve">　</w:t>
            </w:r>
          </w:p>
        </w:tc>
      </w:tr>
    </w:tbl>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）本期计提、收回或转回的坏账准备情况</w:t>
      </w:r>
    </w:p>
    <w:p w:rsidR="00A9288A" w:rsidRDefault="007A4434">
      <w:pPr>
        <w:jc w:val="left"/>
        <w:rPr>
          <w:rFonts w:eastAsia="Times New Roman" w:cs="Times New Roman"/>
        </w:rPr>
      </w:pPr>
      <w:r>
        <w:rPr>
          <w:rFonts w:hint="eastAsia"/>
        </w:rPr>
        <w:t>本期计提坏账准备金额</w:t>
      </w:r>
      <w:r>
        <w:rPr>
          <w:rFonts w:cs="Times New Roman"/>
        </w:rPr>
        <w:t>-1,988,816.16</w:t>
      </w:r>
      <w:r>
        <w:rPr>
          <w:rFonts w:hint="eastAsia"/>
        </w:rPr>
        <w:t>元；本期收回或转回坏账准备金额</w:t>
      </w:r>
      <w:r w:rsidR="009955B3">
        <w:rPr>
          <w:rFonts w:hint="eastAsia"/>
        </w:rPr>
        <w:t>0</w:t>
      </w:r>
      <w:r>
        <w:rPr>
          <w:rFonts w:hint="eastAsia"/>
        </w:rPr>
        <w:t>元。</w:t>
      </w:r>
    </w:p>
    <w:p w:rsidR="00A9288A" w:rsidRDefault="007A4434">
      <w:pPr>
        <w:pStyle w:val="Section"/>
        <w:outlineLvl w:val="3"/>
        <w:rPr>
          <w:rFonts w:eastAsia="Times New Roman" w:cs="Times New Roman"/>
        </w:rPr>
      </w:pPr>
      <w:r>
        <w:rPr>
          <w:rFonts w:hint="eastAsia"/>
        </w:rPr>
        <w:t>（</w:t>
      </w:r>
      <w:r>
        <w:rPr>
          <w:rFonts w:cs="Times New Roman"/>
        </w:rPr>
        <w:t>3</w:t>
      </w:r>
      <w:r>
        <w:rPr>
          <w:rFonts w:hint="eastAsia"/>
        </w:rPr>
        <w:t>）本期实际核销的其他应收款情况</w:t>
      </w:r>
    </w:p>
    <w:p w:rsidR="00A9288A" w:rsidRDefault="007A4434">
      <w:pPr>
        <w:pStyle w:val="Section"/>
        <w:outlineLvl w:val="3"/>
        <w:rPr>
          <w:rFonts w:eastAsia="Times New Roman" w:cs="Times New Roman"/>
        </w:rPr>
      </w:pPr>
      <w:r>
        <w:rPr>
          <w:rFonts w:hint="eastAsia"/>
        </w:rPr>
        <w:t>（</w:t>
      </w:r>
      <w:r>
        <w:rPr>
          <w:rFonts w:cs="Times New Roman"/>
        </w:rPr>
        <w:t>4</w:t>
      </w:r>
      <w:r>
        <w:rPr>
          <w:rFonts w:hint="eastAsia"/>
        </w:rPr>
        <w:t>）其他应收款按款项性质分类情况</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368"/>
        <w:gridCol w:w="3100"/>
        <w:gridCol w:w="3100"/>
      </w:tblGrid>
      <w:tr w:rsidR="00A9288A">
        <w:tc>
          <w:tcPr>
            <w:tcW w:w="336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款项性质</w:t>
            </w:r>
          </w:p>
        </w:tc>
        <w:tc>
          <w:tcPr>
            <w:tcW w:w="31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期末账面余额</w:t>
            </w:r>
          </w:p>
        </w:tc>
        <w:tc>
          <w:tcPr>
            <w:tcW w:w="3100"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期初账面余额</w:t>
            </w:r>
          </w:p>
        </w:tc>
      </w:tr>
      <w:tr w:rsidR="00A9288A">
        <w:tc>
          <w:tcPr>
            <w:tcW w:w="33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关联方往来款</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27,057,575.13</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25,350,437.85</w:t>
            </w:r>
          </w:p>
        </w:tc>
      </w:tr>
      <w:tr w:rsidR="00A9288A">
        <w:tc>
          <w:tcPr>
            <w:tcW w:w="33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股权转让款</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eastAsia="Times New Roman" w:cs="Times New Roman"/>
              </w:rPr>
            </w:pP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6,600,000.00</w:t>
            </w:r>
          </w:p>
        </w:tc>
      </w:tr>
      <w:tr w:rsidR="00A9288A">
        <w:tc>
          <w:tcPr>
            <w:tcW w:w="33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保证金</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2,071,648.21</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2,226,434.95</w:t>
            </w:r>
          </w:p>
        </w:tc>
      </w:tr>
      <w:tr w:rsidR="00A9288A">
        <w:tc>
          <w:tcPr>
            <w:tcW w:w="33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个人借款</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2,792,677.15</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1,590,668.26</w:t>
            </w:r>
          </w:p>
        </w:tc>
      </w:tr>
      <w:tr w:rsidR="00A9288A">
        <w:tc>
          <w:tcPr>
            <w:tcW w:w="33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押金</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51,938.62</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63,938.62</w:t>
            </w:r>
          </w:p>
        </w:tc>
      </w:tr>
      <w:tr w:rsidR="00A9288A">
        <w:tc>
          <w:tcPr>
            <w:tcW w:w="33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代缴社保</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131,325.77</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59,446.57</w:t>
            </w:r>
          </w:p>
        </w:tc>
      </w:tr>
      <w:tr w:rsidR="00A9288A">
        <w:tc>
          <w:tcPr>
            <w:tcW w:w="33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其他</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247,728.00</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250,009.23</w:t>
            </w:r>
          </w:p>
        </w:tc>
      </w:tr>
      <w:tr w:rsidR="00A9288A">
        <w:tc>
          <w:tcPr>
            <w:tcW w:w="336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100"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32,352,892.88</w:t>
            </w:r>
          </w:p>
        </w:tc>
        <w:tc>
          <w:tcPr>
            <w:tcW w:w="3100"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36,140,935.48</w:t>
            </w:r>
          </w:p>
        </w:tc>
      </w:tr>
    </w:tbl>
    <w:p w:rsidR="00A9288A" w:rsidRDefault="007A4434">
      <w:pPr>
        <w:pStyle w:val="Section"/>
        <w:outlineLvl w:val="3"/>
        <w:rPr>
          <w:rFonts w:eastAsia="Times New Roman" w:cs="Times New Roman"/>
        </w:rPr>
      </w:pPr>
      <w:r>
        <w:rPr>
          <w:rFonts w:hint="eastAsia"/>
        </w:rPr>
        <w:lastRenderedPageBreak/>
        <w:t>（</w:t>
      </w:r>
      <w:r>
        <w:rPr>
          <w:rFonts w:cs="Times New Roman"/>
        </w:rPr>
        <w:t>5</w:t>
      </w:r>
      <w:r>
        <w:rPr>
          <w:rFonts w:hint="eastAsia"/>
        </w:rPr>
        <w:t>）按欠款方归集的期末余额前五名的其他应收款情况</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684"/>
        <w:gridCol w:w="1551"/>
        <w:gridCol w:w="1552"/>
        <w:gridCol w:w="1552"/>
        <w:gridCol w:w="1615"/>
        <w:gridCol w:w="1615"/>
      </w:tblGrid>
      <w:tr w:rsidR="00A9288A">
        <w:tc>
          <w:tcPr>
            <w:tcW w:w="168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单位名称</w:t>
            </w:r>
          </w:p>
        </w:tc>
        <w:tc>
          <w:tcPr>
            <w:tcW w:w="155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款项的性质</w:t>
            </w:r>
          </w:p>
        </w:tc>
        <w:tc>
          <w:tcPr>
            <w:tcW w:w="155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155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账龄</w:t>
            </w:r>
          </w:p>
        </w:tc>
        <w:tc>
          <w:tcPr>
            <w:tcW w:w="161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占其他应收款期末余额合计数的比例</w:t>
            </w:r>
          </w:p>
        </w:tc>
        <w:tc>
          <w:tcPr>
            <w:tcW w:w="161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坏账准备期末余额</w:t>
            </w:r>
          </w:p>
        </w:tc>
      </w:tr>
      <w:tr w:rsidR="00A9288A">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成都海兰天澄科技有限公司</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关联方往来款</w:t>
            </w:r>
          </w:p>
        </w:tc>
        <w:tc>
          <w:tcPr>
            <w:tcW w:w="155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25,000,000.00</w:t>
            </w:r>
          </w:p>
        </w:tc>
        <w:tc>
          <w:tcPr>
            <w:tcW w:w="155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1</w:t>
            </w:r>
            <w:r>
              <w:rPr>
                <w:rFonts w:hint="eastAsia"/>
              </w:rPr>
              <w:t>年以内</w:t>
            </w:r>
            <w:r>
              <w:rPr>
                <w:rFonts w:cs="Times New Roman"/>
              </w:rPr>
              <w:t>10,000,000.00</w:t>
            </w:r>
            <w:r>
              <w:rPr>
                <w:rFonts w:hint="eastAsia"/>
              </w:rPr>
              <w:t>元；</w:t>
            </w:r>
            <w:r>
              <w:rPr>
                <w:rFonts w:cs="Times New Roman"/>
              </w:rPr>
              <w:t>1-2</w:t>
            </w:r>
            <w:r>
              <w:rPr>
                <w:rFonts w:hint="eastAsia"/>
              </w:rPr>
              <w:t>年</w:t>
            </w:r>
            <w:r>
              <w:rPr>
                <w:rFonts w:cs="Times New Roman"/>
              </w:rPr>
              <w:t>15,000,000.00</w:t>
            </w:r>
            <w:r>
              <w:rPr>
                <w:rFonts w:hint="eastAsia"/>
              </w:rPr>
              <w:t>元</w:t>
            </w:r>
          </w:p>
        </w:tc>
        <w:tc>
          <w:tcPr>
            <w:tcW w:w="16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77.27%</w:t>
            </w:r>
          </w:p>
        </w:tc>
        <w:tc>
          <w:tcPr>
            <w:tcW w:w="16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三沙海兰信海洋信息科技有限公司</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关联方往来款</w:t>
            </w:r>
          </w:p>
        </w:tc>
        <w:tc>
          <w:tcPr>
            <w:tcW w:w="155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1,335,302.58</w:t>
            </w:r>
          </w:p>
        </w:tc>
        <w:tc>
          <w:tcPr>
            <w:tcW w:w="155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1</w:t>
            </w:r>
            <w:r>
              <w:rPr>
                <w:rFonts w:hint="eastAsia"/>
              </w:rPr>
              <w:t>年以内</w:t>
            </w:r>
            <w:r>
              <w:rPr>
                <w:rFonts w:cs="Times New Roman"/>
              </w:rPr>
              <w:t>1,335,302.58</w:t>
            </w:r>
          </w:p>
        </w:tc>
        <w:tc>
          <w:tcPr>
            <w:tcW w:w="16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4.13%</w:t>
            </w:r>
          </w:p>
        </w:tc>
        <w:tc>
          <w:tcPr>
            <w:tcW w:w="16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山东省海洋与渔业监督监察总队</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保证金</w:t>
            </w:r>
          </w:p>
        </w:tc>
        <w:tc>
          <w:tcPr>
            <w:tcW w:w="155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1,154,678.00</w:t>
            </w:r>
          </w:p>
        </w:tc>
        <w:tc>
          <w:tcPr>
            <w:tcW w:w="155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1</w:t>
            </w:r>
            <w:r>
              <w:rPr>
                <w:rFonts w:hint="eastAsia"/>
              </w:rPr>
              <w:t>年以内</w:t>
            </w:r>
            <w:r>
              <w:rPr>
                <w:rFonts w:cs="Times New Roman"/>
              </w:rPr>
              <w:t>637,118.8</w:t>
            </w:r>
            <w:r>
              <w:rPr>
                <w:rFonts w:hint="eastAsia"/>
              </w:rPr>
              <w:t>元；</w:t>
            </w:r>
            <w:r>
              <w:rPr>
                <w:rFonts w:cs="Times New Roman"/>
              </w:rPr>
              <w:t>1-2</w:t>
            </w:r>
            <w:r>
              <w:rPr>
                <w:rFonts w:hint="eastAsia"/>
              </w:rPr>
              <w:t>年</w:t>
            </w:r>
            <w:r>
              <w:rPr>
                <w:rFonts w:cs="Times New Roman"/>
              </w:rPr>
              <w:t>517,559.2</w:t>
            </w:r>
            <w:r>
              <w:rPr>
                <w:rFonts w:hint="eastAsia"/>
              </w:rPr>
              <w:t>元</w:t>
            </w:r>
          </w:p>
        </w:tc>
        <w:tc>
          <w:tcPr>
            <w:tcW w:w="16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3.57%</w:t>
            </w:r>
          </w:p>
        </w:tc>
        <w:tc>
          <w:tcPr>
            <w:tcW w:w="16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83,611.86</w:t>
            </w:r>
          </w:p>
        </w:tc>
      </w:tr>
      <w:tr w:rsidR="00A9288A">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Highlander (HK) Marine Tech. Co. Ltd</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关联方往来款</w:t>
            </w:r>
          </w:p>
        </w:tc>
        <w:tc>
          <w:tcPr>
            <w:tcW w:w="155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535,811.00</w:t>
            </w:r>
          </w:p>
        </w:tc>
        <w:tc>
          <w:tcPr>
            <w:tcW w:w="155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1</w:t>
            </w:r>
            <w:r>
              <w:rPr>
                <w:rFonts w:hint="eastAsia"/>
              </w:rPr>
              <w:t>年以内</w:t>
            </w:r>
            <w:r>
              <w:rPr>
                <w:rFonts w:cs="Times New Roman"/>
              </w:rPr>
              <w:t>535,811.00</w:t>
            </w:r>
          </w:p>
        </w:tc>
        <w:tc>
          <w:tcPr>
            <w:tcW w:w="16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1.66%</w:t>
            </w:r>
          </w:p>
        </w:tc>
        <w:tc>
          <w:tcPr>
            <w:tcW w:w="16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清华控股有限公司</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保证金</w:t>
            </w:r>
          </w:p>
        </w:tc>
        <w:tc>
          <w:tcPr>
            <w:tcW w:w="155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259,613.10</w:t>
            </w:r>
          </w:p>
        </w:tc>
        <w:tc>
          <w:tcPr>
            <w:tcW w:w="155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cs="Times New Roman"/>
              </w:rPr>
              <w:t>1</w:t>
            </w:r>
            <w:r>
              <w:rPr>
                <w:rFonts w:hint="eastAsia"/>
              </w:rPr>
              <w:t>年以内</w:t>
            </w:r>
            <w:r>
              <w:rPr>
                <w:rFonts w:cs="Times New Roman"/>
              </w:rPr>
              <w:t>42,060.60</w:t>
            </w:r>
            <w:r>
              <w:rPr>
                <w:rFonts w:hint="eastAsia"/>
              </w:rPr>
              <w:t>元；</w:t>
            </w:r>
            <w:r>
              <w:rPr>
                <w:rFonts w:cs="Times New Roman"/>
              </w:rPr>
              <w:t>1-2</w:t>
            </w:r>
            <w:r>
              <w:rPr>
                <w:rFonts w:hint="eastAsia"/>
              </w:rPr>
              <w:t>年</w:t>
            </w:r>
            <w:r>
              <w:rPr>
                <w:rFonts w:cs="Times New Roman"/>
              </w:rPr>
              <w:t>217,552.50</w:t>
            </w:r>
            <w:r>
              <w:rPr>
                <w:rFonts w:hint="eastAsia"/>
              </w:rPr>
              <w:t>元</w:t>
            </w:r>
          </w:p>
        </w:tc>
        <w:tc>
          <w:tcPr>
            <w:tcW w:w="16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0.80%</w:t>
            </w:r>
          </w:p>
        </w:tc>
        <w:tc>
          <w:tcPr>
            <w:tcW w:w="16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23,858.28</w:t>
            </w:r>
          </w:p>
        </w:tc>
      </w:tr>
      <w:tr w:rsidR="00A9288A">
        <w:tc>
          <w:tcPr>
            <w:tcW w:w="168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1551"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1552"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28,285,404.68</w:t>
            </w:r>
          </w:p>
        </w:tc>
        <w:tc>
          <w:tcPr>
            <w:tcW w:w="155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c>
          <w:tcPr>
            <w:tcW w:w="16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87.43%</w:t>
            </w:r>
          </w:p>
        </w:tc>
        <w:tc>
          <w:tcPr>
            <w:tcW w:w="161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107,470.14</w:t>
            </w:r>
          </w:p>
        </w:tc>
      </w:tr>
    </w:tbl>
    <w:p w:rsidR="00A9288A" w:rsidRDefault="007A4434">
      <w:pPr>
        <w:pStyle w:val="Section"/>
        <w:outlineLvl w:val="3"/>
        <w:rPr>
          <w:rFonts w:eastAsia="Times New Roman" w:cs="Times New Roman"/>
        </w:rPr>
      </w:pPr>
      <w:r>
        <w:rPr>
          <w:rFonts w:hint="eastAsia"/>
        </w:rPr>
        <w:t>（</w:t>
      </w:r>
      <w:r>
        <w:rPr>
          <w:rFonts w:cs="Times New Roman"/>
        </w:rPr>
        <w:t>6</w:t>
      </w:r>
      <w:r>
        <w:rPr>
          <w:rFonts w:hint="eastAsia"/>
        </w:rPr>
        <w:t>）涉及政府补助的应收款项</w:t>
      </w:r>
    </w:p>
    <w:p w:rsidR="00A9288A" w:rsidRDefault="007A4434">
      <w:pPr>
        <w:pStyle w:val="Section"/>
        <w:outlineLvl w:val="3"/>
        <w:rPr>
          <w:rFonts w:eastAsia="Times New Roman" w:cs="Times New Roman"/>
        </w:rPr>
      </w:pPr>
      <w:r>
        <w:rPr>
          <w:rFonts w:hint="eastAsia"/>
        </w:rPr>
        <w:t>（</w:t>
      </w:r>
      <w:r>
        <w:rPr>
          <w:rFonts w:cs="Times New Roman"/>
        </w:rPr>
        <w:t>7</w:t>
      </w:r>
      <w:r>
        <w:rPr>
          <w:rFonts w:hint="eastAsia"/>
        </w:rPr>
        <w:t>）因金融资产转移而终止确认的其他应收款</w:t>
      </w:r>
    </w:p>
    <w:p w:rsidR="00A9288A" w:rsidRDefault="007A4434">
      <w:pPr>
        <w:pStyle w:val="Section"/>
        <w:outlineLvl w:val="3"/>
        <w:rPr>
          <w:rFonts w:eastAsia="Times New Roman" w:cs="Times New Roman"/>
        </w:rPr>
      </w:pPr>
      <w:r>
        <w:rPr>
          <w:rFonts w:hint="eastAsia"/>
        </w:rPr>
        <w:t>（</w:t>
      </w:r>
      <w:r>
        <w:rPr>
          <w:rFonts w:cs="Times New Roman"/>
        </w:rPr>
        <w:t>8</w:t>
      </w:r>
      <w:r>
        <w:rPr>
          <w:rFonts w:hint="eastAsia"/>
        </w:rPr>
        <w:t>）转移其他应收款且继续涉入形成的资产、负债金额</w:t>
      </w:r>
    </w:p>
    <w:p w:rsidR="00A9288A" w:rsidRDefault="007A4434">
      <w:pPr>
        <w:pStyle w:val="Section"/>
        <w:outlineLvl w:val="2"/>
        <w:rPr>
          <w:rFonts w:eastAsia="Times New Roman" w:cs="Times New Roman"/>
        </w:rPr>
      </w:pPr>
      <w:r>
        <w:rPr>
          <w:rFonts w:cs="Times New Roman"/>
        </w:rPr>
        <w:t>3</w:t>
      </w:r>
      <w:r>
        <w:rPr>
          <w:rFonts w:hint="eastAsia"/>
        </w:rPr>
        <w:t>、长期股权投资</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368"/>
        <w:gridCol w:w="1368"/>
        <w:gridCol w:w="1367"/>
        <w:gridCol w:w="1367"/>
        <w:gridCol w:w="1367"/>
        <w:gridCol w:w="1367"/>
        <w:gridCol w:w="1367"/>
      </w:tblGrid>
      <w:tr w:rsidR="00A9288A">
        <w:tc>
          <w:tcPr>
            <w:tcW w:w="1368"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4102"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4101"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r>
      <w:tr w:rsidR="00A9288A">
        <w:tc>
          <w:tcPr>
            <w:tcW w:w="1368"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账面余额</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减值准备</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账面价值</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账面余额</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减值准备</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账面价值</w:t>
            </w:r>
          </w:p>
        </w:tc>
      </w:tr>
      <w:tr w:rsidR="00A9288A">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对子公司投资</w:t>
            </w:r>
          </w:p>
        </w:tc>
        <w:tc>
          <w:tcPr>
            <w:tcW w:w="13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873,640,876.46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873,640,876.46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857,926,757.66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857,926,757.66</w:t>
            </w:r>
          </w:p>
        </w:tc>
      </w:tr>
      <w:tr w:rsidR="00A9288A">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对联营、合营企业投资</w:t>
            </w:r>
          </w:p>
        </w:tc>
        <w:tc>
          <w:tcPr>
            <w:tcW w:w="13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31,433,018.91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31,433,018.91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32,175,390.31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32,175,390.31</w:t>
            </w:r>
          </w:p>
        </w:tc>
      </w:tr>
      <w:tr w:rsidR="00A9288A">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1368"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905,073,895.37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905,073,895.37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890,102,147.97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67"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890,102,147.97</w:t>
            </w:r>
          </w:p>
        </w:tc>
      </w:tr>
    </w:tbl>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）对子公司投资</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447"/>
        <w:gridCol w:w="1336"/>
        <w:gridCol w:w="1335"/>
        <w:gridCol w:w="1335"/>
        <w:gridCol w:w="1335"/>
        <w:gridCol w:w="1389"/>
        <w:gridCol w:w="1389"/>
      </w:tblGrid>
      <w:tr w:rsidR="00A9288A">
        <w:tc>
          <w:tcPr>
            <w:tcW w:w="144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lastRenderedPageBreak/>
              <w:t>被投资单位</w:t>
            </w:r>
          </w:p>
        </w:tc>
        <w:tc>
          <w:tcPr>
            <w:tcW w:w="133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期初余额</w:t>
            </w:r>
          </w:p>
        </w:tc>
        <w:tc>
          <w:tcPr>
            <w:tcW w:w="13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本期增加</w:t>
            </w:r>
          </w:p>
        </w:tc>
        <w:tc>
          <w:tcPr>
            <w:tcW w:w="13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本期减少</w:t>
            </w:r>
          </w:p>
        </w:tc>
        <w:tc>
          <w:tcPr>
            <w:tcW w:w="1335"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期末余额</w:t>
            </w:r>
          </w:p>
        </w:tc>
        <w:tc>
          <w:tcPr>
            <w:tcW w:w="13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本期计提减值准备</w:t>
            </w:r>
          </w:p>
        </w:tc>
        <w:tc>
          <w:tcPr>
            <w:tcW w:w="138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减值准备期末余额</w:t>
            </w:r>
          </w:p>
        </w:tc>
      </w:tr>
      <w:tr w:rsidR="00A9288A">
        <w:tc>
          <w:tcPr>
            <w:tcW w:w="144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江苏海兰船舶电气系统科技有限公司</w:t>
            </w:r>
          </w:p>
        </w:tc>
        <w:tc>
          <w:tcPr>
            <w:tcW w:w="13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114,000,000.00</w:t>
            </w: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114,000,000.00</w:t>
            </w:r>
          </w:p>
        </w:tc>
        <w:tc>
          <w:tcPr>
            <w:tcW w:w="13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44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北京海兰信船舶设备有限公司</w:t>
            </w:r>
          </w:p>
        </w:tc>
        <w:tc>
          <w:tcPr>
            <w:tcW w:w="13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8,500,000.00</w:t>
            </w: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8,500,000.00</w:t>
            </w:r>
          </w:p>
        </w:tc>
        <w:tc>
          <w:tcPr>
            <w:tcW w:w="13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44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海兰信（香港）航海科技有限公司</w:t>
            </w:r>
          </w:p>
        </w:tc>
        <w:tc>
          <w:tcPr>
            <w:tcW w:w="13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4,333,424.31</w:t>
            </w: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20,678,238.96</w:t>
            </w: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25,011,663.27</w:t>
            </w:r>
          </w:p>
        </w:tc>
        <w:tc>
          <w:tcPr>
            <w:tcW w:w="13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44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北京海兰弘义科技有限公司</w:t>
            </w:r>
          </w:p>
        </w:tc>
        <w:tc>
          <w:tcPr>
            <w:tcW w:w="13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4,964,120.16</w:t>
            </w: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4,964,120.16</w:t>
            </w: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44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北京海兰盈华科技有限公司</w:t>
            </w:r>
          </w:p>
        </w:tc>
        <w:tc>
          <w:tcPr>
            <w:tcW w:w="13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21,300,000.00</w:t>
            </w: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21,300,000.00</w:t>
            </w:r>
          </w:p>
        </w:tc>
        <w:tc>
          <w:tcPr>
            <w:tcW w:w="13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44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三沙海兰信海洋信息科技有限公司</w:t>
            </w:r>
          </w:p>
        </w:tc>
        <w:tc>
          <w:tcPr>
            <w:tcW w:w="13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50,000,000.00</w:t>
            </w: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50,000,000.00</w:t>
            </w:r>
          </w:p>
        </w:tc>
        <w:tc>
          <w:tcPr>
            <w:tcW w:w="13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44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江苏海兰信船舶设备有限公司</w:t>
            </w:r>
          </w:p>
        </w:tc>
        <w:tc>
          <w:tcPr>
            <w:tcW w:w="13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100,000,000.00</w:t>
            </w: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100,000,000.00</w:t>
            </w:r>
          </w:p>
        </w:tc>
        <w:tc>
          <w:tcPr>
            <w:tcW w:w="13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44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上海海兰劳雷海洋科技有限公司</w:t>
            </w:r>
          </w:p>
        </w:tc>
        <w:tc>
          <w:tcPr>
            <w:tcW w:w="13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550,600,000.00</w:t>
            </w: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550,600,000.00</w:t>
            </w:r>
          </w:p>
        </w:tc>
        <w:tc>
          <w:tcPr>
            <w:tcW w:w="13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44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成都海兰天澄科技有限公司</w:t>
            </w:r>
          </w:p>
        </w:tc>
        <w:tc>
          <w:tcPr>
            <w:tcW w:w="133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4,229,213.19</w:t>
            </w: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4,229,213.19</w:t>
            </w:r>
          </w:p>
        </w:tc>
        <w:tc>
          <w:tcPr>
            <w:tcW w:w="13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144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1336"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857,926,757.66</w:t>
            </w: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20,678,238.96</w:t>
            </w:r>
          </w:p>
        </w:tc>
        <w:tc>
          <w:tcPr>
            <w:tcW w:w="1335"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4,964,120.16</w:t>
            </w:r>
          </w:p>
        </w:tc>
        <w:tc>
          <w:tcPr>
            <w:tcW w:w="1335"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873,640,876.46</w:t>
            </w:r>
          </w:p>
        </w:tc>
        <w:tc>
          <w:tcPr>
            <w:tcW w:w="138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c>
          <w:tcPr>
            <w:tcW w:w="1389" w:type="dxa"/>
            <w:tcBorders>
              <w:top w:val="single" w:sz="4" w:space="0" w:color="auto"/>
              <w:left w:val="single" w:sz="4" w:space="0" w:color="auto"/>
              <w:bottom w:val="single" w:sz="4" w:space="0" w:color="auto"/>
              <w:right w:val="single" w:sz="4" w:space="0" w:color="auto"/>
            </w:tcBorders>
            <w:vAlign w:val="center"/>
          </w:tcPr>
          <w:p w:rsidR="00A9288A" w:rsidRDefault="00A9288A">
            <w:pPr>
              <w:jc w:val="right"/>
              <w:rPr>
                <w:rFonts w:cs="Times New Roman"/>
              </w:rPr>
            </w:pPr>
          </w:p>
        </w:tc>
      </w:tr>
    </w:tbl>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）对联营、合营企业投资</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5000" w:type="pct"/>
        <w:tblCellMar>
          <w:left w:w="28" w:type="dxa"/>
          <w:right w:w="28" w:type="dxa"/>
        </w:tblCellMar>
        <w:tblLook w:val="0000" w:firstRow="0" w:lastRow="0" w:firstColumn="0" w:lastColumn="0" w:noHBand="0" w:noVBand="0"/>
      </w:tblPr>
      <w:tblGrid>
        <w:gridCol w:w="784"/>
        <w:gridCol w:w="919"/>
        <w:gridCol w:w="785"/>
        <w:gridCol w:w="786"/>
        <w:gridCol w:w="786"/>
        <w:gridCol w:w="786"/>
        <w:gridCol w:w="786"/>
        <w:gridCol w:w="786"/>
        <w:gridCol w:w="786"/>
        <w:gridCol w:w="786"/>
        <w:gridCol w:w="919"/>
        <w:gridCol w:w="785"/>
      </w:tblGrid>
      <w:tr w:rsidR="00A9288A" w:rsidRPr="009955B3" w:rsidTr="009955B3">
        <w:tc>
          <w:tcPr>
            <w:tcW w:w="416"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Pr="009955B3" w:rsidRDefault="007A4434">
            <w:pPr>
              <w:jc w:val="center"/>
              <w:rPr>
                <w:rFonts w:eastAsia="Times New Roman" w:cs="Times New Roman"/>
                <w:sz w:val="15"/>
                <w:szCs w:val="15"/>
              </w:rPr>
            </w:pPr>
            <w:r w:rsidRPr="009955B3">
              <w:rPr>
                <w:rFonts w:hint="eastAsia"/>
                <w:sz w:val="15"/>
                <w:szCs w:val="15"/>
              </w:rPr>
              <w:t>投资单位</w:t>
            </w:r>
          </w:p>
        </w:tc>
        <w:tc>
          <w:tcPr>
            <w:tcW w:w="416"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Pr="009955B3" w:rsidRDefault="007A4434">
            <w:pPr>
              <w:jc w:val="center"/>
              <w:rPr>
                <w:rFonts w:eastAsia="Times New Roman" w:cs="Times New Roman"/>
                <w:sz w:val="15"/>
                <w:szCs w:val="15"/>
              </w:rPr>
            </w:pPr>
            <w:r w:rsidRPr="009955B3">
              <w:rPr>
                <w:rFonts w:hint="eastAsia"/>
                <w:sz w:val="15"/>
                <w:szCs w:val="15"/>
              </w:rPr>
              <w:t>期初余额</w:t>
            </w:r>
          </w:p>
        </w:tc>
        <w:tc>
          <w:tcPr>
            <w:tcW w:w="3334" w:type="pct"/>
            <w:gridSpan w:val="8"/>
            <w:tcBorders>
              <w:top w:val="single" w:sz="4" w:space="0" w:color="auto"/>
              <w:left w:val="single" w:sz="4" w:space="0" w:color="auto"/>
              <w:bottom w:val="single" w:sz="4" w:space="0" w:color="auto"/>
              <w:right w:val="single" w:sz="4" w:space="0" w:color="auto"/>
            </w:tcBorders>
            <w:shd w:val="clear" w:color="auto" w:fill="D3D3D3"/>
            <w:vAlign w:val="center"/>
          </w:tcPr>
          <w:p w:rsidR="00A9288A" w:rsidRPr="009955B3" w:rsidRDefault="007A4434">
            <w:pPr>
              <w:jc w:val="center"/>
              <w:rPr>
                <w:rFonts w:eastAsia="Times New Roman" w:cs="Times New Roman"/>
                <w:sz w:val="15"/>
                <w:szCs w:val="15"/>
              </w:rPr>
            </w:pPr>
            <w:r w:rsidRPr="009955B3">
              <w:rPr>
                <w:rFonts w:hint="eastAsia"/>
                <w:sz w:val="15"/>
                <w:szCs w:val="15"/>
              </w:rPr>
              <w:t>本期增减变动</w:t>
            </w:r>
          </w:p>
        </w:tc>
        <w:tc>
          <w:tcPr>
            <w:tcW w:w="417"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Pr="009955B3" w:rsidRDefault="007A4434">
            <w:pPr>
              <w:jc w:val="center"/>
              <w:rPr>
                <w:rFonts w:eastAsia="Times New Roman" w:cs="Times New Roman"/>
                <w:sz w:val="15"/>
                <w:szCs w:val="15"/>
              </w:rPr>
            </w:pPr>
            <w:r w:rsidRPr="009955B3">
              <w:rPr>
                <w:rFonts w:hint="eastAsia"/>
                <w:sz w:val="15"/>
                <w:szCs w:val="15"/>
              </w:rPr>
              <w:t>期末余额</w:t>
            </w:r>
          </w:p>
        </w:tc>
        <w:tc>
          <w:tcPr>
            <w:tcW w:w="417"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Pr="009955B3" w:rsidRDefault="007A4434">
            <w:pPr>
              <w:jc w:val="center"/>
              <w:rPr>
                <w:rFonts w:eastAsia="Times New Roman" w:cs="Times New Roman"/>
                <w:sz w:val="15"/>
                <w:szCs w:val="15"/>
              </w:rPr>
            </w:pPr>
            <w:r w:rsidRPr="009955B3">
              <w:rPr>
                <w:rFonts w:hint="eastAsia"/>
                <w:sz w:val="15"/>
                <w:szCs w:val="15"/>
              </w:rPr>
              <w:t>减值准备期末余额</w:t>
            </w:r>
          </w:p>
        </w:tc>
      </w:tr>
      <w:tr w:rsidR="00A9288A" w:rsidRPr="009955B3" w:rsidTr="009955B3">
        <w:tc>
          <w:tcPr>
            <w:tcW w:w="416" w:type="pct"/>
            <w:vMerge/>
            <w:tcBorders>
              <w:top w:val="single" w:sz="4" w:space="0" w:color="auto"/>
              <w:left w:val="single" w:sz="4" w:space="0" w:color="auto"/>
              <w:bottom w:val="single" w:sz="4" w:space="0" w:color="auto"/>
              <w:right w:val="single" w:sz="4" w:space="0" w:color="auto"/>
            </w:tcBorders>
            <w:vAlign w:val="center"/>
          </w:tcPr>
          <w:p w:rsidR="00A9288A" w:rsidRPr="009955B3" w:rsidRDefault="00A9288A">
            <w:pPr>
              <w:jc w:val="center"/>
              <w:rPr>
                <w:rFonts w:eastAsia="Times New Roman" w:cs="Times New Roman"/>
                <w:sz w:val="15"/>
                <w:szCs w:val="15"/>
              </w:rPr>
            </w:pPr>
          </w:p>
        </w:tc>
        <w:tc>
          <w:tcPr>
            <w:tcW w:w="416" w:type="pct"/>
            <w:vMerge/>
            <w:tcBorders>
              <w:top w:val="single" w:sz="4" w:space="0" w:color="auto"/>
              <w:left w:val="single" w:sz="4" w:space="0" w:color="auto"/>
              <w:bottom w:val="single" w:sz="4" w:space="0" w:color="auto"/>
              <w:right w:val="single" w:sz="4" w:space="0" w:color="auto"/>
            </w:tcBorders>
            <w:vAlign w:val="center"/>
          </w:tcPr>
          <w:p w:rsidR="00A9288A" w:rsidRPr="009955B3" w:rsidRDefault="00A9288A">
            <w:pPr>
              <w:jc w:val="center"/>
              <w:rPr>
                <w:rFonts w:eastAsia="Times New Roman" w:cs="Times New Roman"/>
                <w:sz w:val="15"/>
                <w:szCs w:val="15"/>
              </w:rPr>
            </w:pPr>
          </w:p>
        </w:tc>
        <w:tc>
          <w:tcPr>
            <w:tcW w:w="416" w:type="pct"/>
            <w:tcBorders>
              <w:top w:val="single" w:sz="4" w:space="0" w:color="auto"/>
              <w:left w:val="single" w:sz="4" w:space="0" w:color="auto"/>
              <w:bottom w:val="single" w:sz="4" w:space="0" w:color="auto"/>
              <w:right w:val="single" w:sz="4" w:space="0" w:color="auto"/>
            </w:tcBorders>
            <w:shd w:val="clear" w:color="auto" w:fill="D3D3D3"/>
            <w:vAlign w:val="center"/>
          </w:tcPr>
          <w:p w:rsidR="00A9288A" w:rsidRPr="009955B3" w:rsidRDefault="007A4434">
            <w:pPr>
              <w:jc w:val="center"/>
              <w:rPr>
                <w:rFonts w:eastAsia="Times New Roman" w:cs="Times New Roman"/>
                <w:sz w:val="15"/>
                <w:szCs w:val="15"/>
              </w:rPr>
            </w:pPr>
            <w:r w:rsidRPr="009955B3">
              <w:rPr>
                <w:rFonts w:hint="eastAsia"/>
                <w:sz w:val="15"/>
                <w:szCs w:val="15"/>
              </w:rPr>
              <w:t>追加投资</w:t>
            </w:r>
          </w:p>
        </w:tc>
        <w:tc>
          <w:tcPr>
            <w:tcW w:w="417" w:type="pct"/>
            <w:tcBorders>
              <w:top w:val="single" w:sz="4" w:space="0" w:color="auto"/>
              <w:left w:val="single" w:sz="4" w:space="0" w:color="auto"/>
              <w:bottom w:val="single" w:sz="4" w:space="0" w:color="auto"/>
              <w:right w:val="single" w:sz="4" w:space="0" w:color="auto"/>
            </w:tcBorders>
            <w:shd w:val="clear" w:color="auto" w:fill="D3D3D3"/>
            <w:vAlign w:val="center"/>
          </w:tcPr>
          <w:p w:rsidR="00A9288A" w:rsidRPr="009955B3" w:rsidRDefault="007A4434">
            <w:pPr>
              <w:jc w:val="center"/>
              <w:rPr>
                <w:rFonts w:eastAsia="Times New Roman" w:cs="Times New Roman"/>
                <w:sz w:val="15"/>
                <w:szCs w:val="15"/>
              </w:rPr>
            </w:pPr>
            <w:r w:rsidRPr="009955B3">
              <w:rPr>
                <w:rFonts w:hint="eastAsia"/>
                <w:sz w:val="15"/>
                <w:szCs w:val="15"/>
              </w:rPr>
              <w:t>减少投资</w:t>
            </w:r>
          </w:p>
        </w:tc>
        <w:tc>
          <w:tcPr>
            <w:tcW w:w="417" w:type="pct"/>
            <w:tcBorders>
              <w:top w:val="single" w:sz="4" w:space="0" w:color="auto"/>
              <w:left w:val="single" w:sz="4" w:space="0" w:color="auto"/>
              <w:bottom w:val="single" w:sz="4" w:space="0" w:color="auto"/>
              <w:right w:val="single" w:sz="4" w:space="0" w:color="auto"/>
            </w:tcBorders>
            <w:shd w:val="clear" w:color="auto" w:fill="D3D3D3"/>
            <w:vAlign w:val="center"/>
          </w:tcPr>
          <w:p w:rsidR="00A9288A" w:rsidRPr="009955B3" w:rsidRDefault="007A4434">
            <w:pPr>
              <w:jc w:val="center"/>
              <w:rPr>
                <w:rFonts w:eastAsia="Times New Roman" w:cs="Times New Roman"/>
                <w:sz w:val="15"/>
                <w:szCs w:val="15"/>
              </w:rPr>
            </w:pPr>
            <w:r w:rsidRPr="009955B3">
              <w:rPr>
                <w:rFonts w:hint="eastAsia"/>
                <w:sz w:val="15"/>
                <w:szCs w:val="15"/>
              </w:rPr>
              <w:t>权益法下确认的投资损益</w:t>
            </w:r>
          </w:p>
        </w:tc>
        <w:tc>
          <w:tcPr>
            <w:tcW w:w="417" w:type="pct"/>
            <w:tcBorders>
              <w:top w:val="single" w:sz="4" w:space="0" w:color="auto"/>
              <w:left w:val="single" w:sz="4" w:space="0" w:color="auto"/>
              <w:bottom w:val="single" w:sz="4" w:space="0" w:color="auto"/>
              <w:right w:val="single" w:sz="4" w:space="0" w:color="auto"/>
            </w:tcBorders>
            <w:shd w:val="clear" w:color="auto" w:fill="D3D3D3"/>
            <w:vAlign w:val="center"/>
          </w:tcPr>
          <w:p w:rsidR="00A9288A" w:rsidRPr="009955B3" w:rsidRDefault="007A4434">
            <w:pPr>
              <w:jc w:val="center"/>
              <w:rPr>
                <w:rFonts w:eastAsia="Times New Roman" w:cs="Times New Roman"/>
                <w:sz w:val="15"/>
                <w:szCs w:val="15"/>
              </w:rPr>
            </w:pPr>
            <w:r w:rsidRPr="009955B3">
              <w:rPr>
                <w:rFonts w:hint="eastAsia"/>
                <w:sz w:val="15"/>
                <w:szCs w:val="15"/>
              </w:rPr>
              <w:t>其他综合收益调整</w:t>
            </w:r>
          </w:p>
        </w:tc>
        <w:tc>
          <w:tcPr>
            <w:tcW w:w="417" w:type="pct"/>
            <w:tcBorders>
              <w:top w:val="single" w:sz="4" w:space="0" w:color="auto"/>
              <w:left w:val="single" w:sz="4" w:space="0" w:color="auto"/>
              <w:bottom w:val="single" w:sz="4" w:space="0" w:color="auto"/>
              <w:right w:val="single" w:sz="4" w:space="0" w:color="auto"/>
            </w:tcBorders>
            <w:shd w:val="clear" w:color="auto" w:fill="D3D3D3"/>
            <w:vAlign w:val="center"/>
          </w:tcPr>
          <w:p w:rsidR="00A9288A" w:rsidRPr="009955B3" w:rsidRDefault="007A4434">
            <w:pPr>
              <w:jc w:val="center"/>
              <w:rPr>
                <w:rFonts w:eastAsia="Times New Roman" w:cs="Times New Roman"/>
                <w:sz w:val="15"/>
                <w:szCs w:val="15"/>
              </w:rPr>
            </w:pPr>
            <w:r w:rsidRPr="009955B3">
              <w:rPr>
                <w:rFonts w:hint="eastAsia"/>
                <w:sz w:val="15"/>
                <w:szCs w:val="15"/>
              </w:rPr>
              <w:t>其他权益变动</w:t>
            </w:r>
          </w:p>
        </w:tc>
        <w:tc>
          <w:tcPr>
            <w:tcW w:w="417" w:type="pct"/>
            <w:tcBorders>
              <w:top w:val="single" w:sz="4" w:space="0" w:color="auto"/>
              <w:left w:val="single" w:sz="4" w:space="0" w:color="auto"/>
              <w:bottom w:val="single" w:sz="4" w:space="0" w:color="auto"/>
              <w:right w:val="single" w:sz="4" w:space="0" w:color="auto"/>
            </w:tcBorders>
            <w:shd w:val="clear" w:color="auto" w:fill="D3D3D3"/>
            <w:vAlign w:val="center"/>
          </w:tcPr>
          <w:p w:rsidR="00A9288A" w:rsidRPr="009955B3" w:rsidRDefault="007A4434">
            <w:pPr>
              <w:jc w:val="center"/>
              <w:rPr>
                <w:rFonts w:eastAsia="Times New Roman" w:cs="Times New Roman"/>
                <w:sz w:val="15"/>
                <w:szCs w:val="15"/>
              </w:rPr>
            </w:pPr>
            <w:r w:rsidRPr="009955B3">
              <w:rPr>
                <w:rFonts w:hint="eastAsia"/>
                <w:sz w:val="15"/>
                <w:szCs w:val="15"/>
              </w:rPr>
              <w:t>宣告发放现金股利或利润</w:t>
            </w:r>
          </w:p>
        </w:tc>
        <w:tc>
          <w:tcPr>
            <w:tcW w:w="417" w:type="pct"/>
            <w:tcBorders>
              <w:top w:val="single" w:sz="4" w:space="0" w:color="auto"/>
              <w:left w:val="single" w:sz="4" w:space="0" w:color="auto"/>
              <w:bottom w:val="single" w:sz="4" w:space="0" w:color="auto"/>
              <w:right w:val="single" w:sz="4" w:space="0" w:color="auto"/>
            </w:tcBorders>
            <w:shd w:val="clear" w:color="auto" w:fill="D3D3D3"/>
            <w:vAlign w:val="center"/>
          </w:tcPr>
          <w:p w:rsidR="00A9288A" w:rsidRPr="009955B3" w:rsidRDefault="007A4434">
            <w:pPr>
              <w:jc w:val="center"/>
              <w:rPr>
                <w:rFonts w:eastAsia="Times New Roman" w:cs="Times New Roman"/>
                <w:sz w:val="15"/>
                <w:szCs w:val="15"/>
              </w:rPr>
            </w:pPr>
            <w:r w:rsidRPr="009955B3">
              <w:rPr>
                <w:rFonts w:hint="eastAsia"/>
                <w:sz w:val="15"/>
                <w:szCs w:val="15"/>
              </w:rPr>
              <w:t>计提减值准备</w:t>
            </w:r>
          </w:p>
        </w:tc>
        <w:tc>
          <w:tcPr>
            <w:tcW w:w="417" w:type="pct"/>
            <w:tcBorders>
              <w:top w:val="single" w:sz="4" w:space="0" w:color="auto"/>
              <w:left w:val="single" w:sz="4" w:space="0" w:color="auto"/>
              <w:bottom w:val="single" w:sz="4" w:space="0" w:color="auto"/>
              <w:right w:val="single" w:sz="4" w:space="0" w:color="auto"/>
            </w:tcBorders>
            <w:shd w:val="clear" w:color="auto" w:fill="D3D3D3"/>
            <w:vAlign w:val="center"/>
          </w:tcPr>
          <w:p w:rsidR="00A9288A" w:rsidRPr="009955B3" w:rsidRDefault="007A4434">
            <w:pPr>
              <w:jc w:val="center"/>
              <w:rPr>
                <w:rFonts w:eastAsia="Times New Roman" w:cs="Times New Roman"/>
                <w:sz w:val="15"/>
                <w:szCs w:val="15"/>
              </w:rPr>
            </w:pPr>
            <w:r w:rsidRPr="009955B3">
              <w:rPr>
                <w:rFonts w:hint="eastAsia"/>
                <w:sz w:val="15"/>
                <w:szCs w:val="15"/>
              </w:rPr>
              <w:t>其他</w:t>
            </w:r>
          </w:p>
        </w:tc>
        <w:tc>
          <w:tcPr>
            <w:tcW w:w="417" w:type="pct"/>
            <w:vMerge/>
            <w:tcBorders>
              <w:top w:val="single" w:sz="4" w:space="0" w:color="auto"/>
              <w:left w:val="single" w:sz="4" w:space="0" w:color="auto"/>
              <w:bottom w:val="single" w:sz="4" w:space="0" w:color="auto"/>
              <w:right w:val="single" w:sz="4" w:space="0" w:color="auto"/>
            </w:tcBorders>
            <w:vAlign w:val="center"/>
          </w:tcPr>
          <w:p w:rsidR="00A9288A" w:rsidRPr="009955B3" w:rsidRDefault="00A9288A">
            <w:pPr>
              <w:jc w:val="center"/>
              <w:rPr>
                <w:rFonts w:eastAsia="Times New Roman" w:cs="Times New Roman"/>
                <w:sz w:val="15"/>
                <w:szCs w:val="15"/>
              </w:rPr>
            </w:pPr>
          </w:p>
        </w:tc>
        <w:tc>
          <w:tcPr>
            <w:tcW w:w="417" w:type="pct"/>
            <w:vMerge/>
            <w:tcBorders>
              <w:top w:val="single" w:sz="4" w:space="0" w:color="auto"/>
              <w:left w:val="single" w:sz="4" w:space="0" w:color="auto"/>
              <w:bottom w:val="single" w:sz="4" w:space="0" w:color="auto"/>
              <w:right w:val="single" w:sz="4" w:space="0" w:color="auto"/>
            </w:tcBorders>
            <w:vAlign w:val="center"/>
          </w:tcPr>
          <w:p w:rsidR="00A9288A" w:rsidRPr="009955B3" w:rsidRDefault="00A9288A">
            <w:pPr>
              <w:jc w:val="center"/>
              <w:rPr>
                <w:rFonts w:eastAsia="Times New Roman" w:cs="Times New Roman"/>
                <w:sz w:val="15"/>
                <w:szCs w:val="15"/>
              </w:rPr>
            </w:pPr>
          </w:p>
        </w:tc>
      </w:tr>
      <w:tr w:rsidR="00A9288A" w:rsidRPr="009955B3" w:rsidTr="009955B3">
        <w:tc>
          <w:tcPr>
            <w:tcW w:w="5000" w:type="pct"/>
            <w:gridSpan w:val="12"/>
            <w:tcBorders>
              <w:top w:val="single" w:sz="4" w:space="0" w:color="auto"/>
              <w:left w:val="single" w:sz="4" w:space="0" w:color="auto"/>
              <w:bottom w:val="single" w:sz="4" w:space="0" w:color="auto"/>
              <w:right w:val="single" w:sz="4" w:space="0" w:color="auto"/>
            </w:tcBorders>
            <w:shd w:val="clear" w:color="auto" w:fill="D3D3D3"/>
            <w:vAlign w:val="center"/>
          </w:tcPr>
          <w:p w:rsidR="00A9288A" w:rsidRPr="009955B3" w:rsidRDefault="007A4434">
            <w:pPr>
              <w:jc w:val="left"/>
              <w:rPr>
                <w:rFonts w:eastAsia="Times New Roman" w:cs="Times New Roman"/>
                <w:sz w:val="15"/>
                <w:szCs w:val="15"/>
              </w:rPr>
            </w:pPr>
            <w:r w:rsidRPr="009955B3">
              <w:rPr>
                <w:rFonts w:hint="eastAsia"/>
                <w:sz w:val="15"/>
                <w:szCs w:val="15"/>
              </w:rPr>
              <w:t>一、合营企业</w:t>
            </w:r>
          </w:p>
        </w:tc>
      </w:tr>
      <w:tr w:rsidR="00A9288A" w:rsidRPr="009955B3" w:rsidTr="009955B3">
        <w:tc>
          <w:tcPr>
            <w:tcW w:w="5000" w:type="pct"/>
            <w:gridSpan w:val="12"/>
            <w:tcBorders>
              <w:top w:val="single" w:sz="4" w:space="0" w:color="auto"/>
              <w:left w:val="single" w:sz="4" w:space="0" w:color="auto"/>
              <w:bottom w:val="single" w:sz="4" w:space="0" w:color="auto"/>
              <w:right w:val="single" w:sz="4" w:space="0" w:color="auto"/>
            </w:tcBorders>
            <w:shd w:val="clear" w:color="auto" w:fill="D3D3D3"/>
            <w:vAlign w:val="center"/>
          </w:tcPr>
          <w:p w:rsidR="00A9288A" w:rsidRPr="009955B3" w:rsidRDefault="007A4434">
            <w:pPr>
              <w:jc w:val="left"/>
              <w:rPr>
                <w:rFonts w:eastAsia="Times New Roman" w:cs="Times New Roman"/>
                <w:sz w:val="15"/>
                <w:szCs w:val="15"/>
              </w:rPr>
            </w:pPr>
            <w:r w:rsidRPr="009955B3">
              <w:rPr>
                <w:rFonts w:hint="eastAsia"/>
                <w:sz w:val="15"/>
                <w:szCs w:val="15"/>
              </w:rPr>
              <w:t>二、联营企业</w:t>
            </w:r>
          </w:p>
        </w:tc>
      </w:tr>
      <w:tr w:rsidR="00A9288A" w:rsidRPr="009955B3" w:rsidTr="009955B3">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7A4434">
            <w:pPr>
              <w:jc w:val="left"/>
              <w:rPr>
                <w:rFonts w:eastAsia="Times New Roman" w:cs="Times New Roman"/>
                <w:sz w:val="15"/>
                <w:szCs w:val="15"/>
              </w:rPr>
            </w:pPr>
            <w:r w:rsidRPr="009955B3">
              <w:rPr>
                <w:rFonts w:hint="eastAsia"/>
                <w:sz w:val="15"/>
                <w:szCs w:val="15"/>
              </w:rPr>
              <w:t>浙江海兰信海洋信息科技有限公司</w:t>
            </w: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7A4434">
            <w:pPr>
              <w:jc w:val="right"/>
              <w:rPr>
                <w:rFonts w:cs="Times New Roman"/>
                <w:sz w:val="15"/>
                <w:szCs w:val="15"/>
              </w:rPr>
            </w:pPr>
            <w:r w:rsidRPr="009955B3">
              <w:rPr>
                <w:rFonts w:cs="Times New Roman"/>
                <w:sz w:val="15"/>
                <w:szCs w:val="15"/>
              </w:rPr>
              <w:t>19,750,789.54</w:t>
            </w: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7A4434">
            <w:pPr>
              <w:jc w:val="right"/>
              <w:rPr>
                <w:rFonts w:cs="Times New Roman"/>
                <w:sz w:val="15"/>
                <w:szCs w:val="15"/>
              </w:rPr>
            </w:pPr>
            <w:r w:rsidRPr="009955B3">
              <w:rPr>
                <w:rFonts w:cs="Times New Roman"/>
                <w:sz w:val="15"/>
                <w:szCs w:val="15"/>
              </w:rPr>
              <w:t>-388,141.74</w:t>
            </w: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7A4434">
            <w:pPr>
              <w:jc w:val="right"/>
              <w:rPr>
                <w:rFonts w:cs="Times New Roman"/>
                <w:sz w:val="15"/>
                <w:szCs w:val="15"/>
              </w:rPr>
            </w:pPr>
            <w:r w:rsidRPr="009955B3">
              <w:rPr>
                <w:rFonts w:cs="Times New Roman"/>
                <w:sz w:val="15"/>
                <w:szCs w:val="15"/>
              </w:rPr>
              <w:t>19,362,647.80</w:t>
            </w: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r>
      <w:tr w:rsidR="00A9288A" w:rsidRPr="009955B3" w:rsidTr="009955B3">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7A4434">
            <w:pPr>
              <w:jc w:val="left"/>
              <w:rPr>
                <w:rFonts w:eastAsia="Times New Roman" w:cs="Times New Roman"/>
                <w:sz w:val="15"/>
                <w:szCs w:val="15"/>
              </w:rPr>
            </w:pPr>
            <w:r w:rsidRPr="009955B3">
              <w:rPr>
                <w:rFonts w:hint="eastAsia"/>
                <w:sz w:val="15"/>
                <w:szCs w:val="15"/>
              </w:rPr>
              <w:t>杭州边界电子技术</w:t>
            </w:r>
            <w:r w:rsidRPr="009955B3">
              <w:rPr>
                <w:rFonts w:hint="eastAsia"/>
                <w:sz w:val="15"/>
                <w:szCs w:val="15"/>
              </w:rPr>
              <w:lastRenderedPageBreak/>
              <w:t>有限公司</w:t>
            </w: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7A4434">
            <w:pPr>
              <w:jc w:val="right"/>
              <w:rPr>
                <w:rFonts w:cs="Times New Roman"/>
                <w:sz w:val="15"/>
                <w:szCs w:val="15"/>
              </w:rPr>
            </w:pPr>
            <w:r w:rsidRPr="009955B3">
              <w:rPr>
                <w:rFonts w:cs="Times New Roman"/>
                <w:sz w:val="15"/>
                <w:szCs w:val="15"/>
              </w:rPr>
              <w:lastRenderedPageBreak/>
              <w:t>10,406,217.99</w:t>
            </w: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7A4434">
            <w:pPr>
              <w:jc w:val="right"/>
              <w:rPr>
                <w:rFonts w:cs="Times New Roman"/>
                <w:sz w:val="15"/>
                <w:szCs w:val="15"/>
              </w:rPr>
            </w:pPr>
            <w:r w:rsidRPr="009955B3">
              <w:rPr>
                <w:rFonts w:cs="Times New Roman"/>
                <w:sz w:val="15"/>
                <w:szCs w:val="15"/>
              </w:rPr>
              <w:t>-226,004.35</w:t>
            </w: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7A4434">
            <w:pPr>
              <w:jc w:val="right"/>
              <w:rPr>
                <w:rFonts w:cs="Times New Roman"/>
                <w:sz w:val="15"/>
                <w:szCs w:val="15"/>
              </w:rPr>
            </w:pPr>
            <w:r w:rsidRPr="009955B3">
              <w:rPr>
                <w:rFonts w:cs="Times New Roman"/>
                <w:sz w:val="15"/>
                <w:szCs w:val="15"/>
              </w:rPr>
              <w:t>10,180,213.64</w:t>
            </w: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r>
      <w:tr w:rsidR="00A9288A" w:rsidRPr="009955B3" w:rsidTr="009955B3">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7A4434">
            <w:pPr>
              <w:jc w:val="left"/>
              <w:rPr>
                <w:rFonts w:eastAsia="Times New Roman" w:cs="Times New Roman"/>
                <w:sz w:val="15"/>
                <w:szCs w:val="15"/>
              </w:rPr>
            </w:pPr>
            <w:r w:rsidRPr="009955B3">
              <w:rPr>
                <w:rFonts w:hint="eastAsia"/>
                <w:sz w:val="15"/>
                <w:szCs w:val="15"/>
              </w:rPr>
              <w:lastRenderedPageBreak/>
              <w:t>北京蓝鲸众合投资管理有限公司</w:t>
            </w: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7A4434">
            <w:pPr>
              <w:jc w:val="right"/>
              <w:rPr>
                <w:rFonts w:cs="Times New Roman"/>
                <w:sz w:val="15"/>
                <w:szCs w:val="15"/>
              </w:rPr>
            </w:pPr>
            <w:r w:rsidRPr="009955B3">
              <w:rPr>
                <w:rFonts w:cs="Times New Roman"/>
                <w:sz w:val="15"/>
                <w:szCs w:val="15"/>
              </w:rPr>
              <w:t>2,018,382.78</w:t>
            </w: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7A4434">
            <w:pPr>
              <w:jc w:val="right"/>
              <w:rPr>
                <w:rFonts w:cs="Times New Roman"/>
                <w:sz w:val="15"/>
                <w:szCs w:val="15"/>
              </w:rPr>
            </w:pPr>
            <w:r w:rsidRPr="009955B3">
              <w:rPr>
                <w:rFonts w:cs="Times New Roman"/>
                <w:sz w:val="15"/>
                <w:szCs w:val="15"/>
              </w:rPr>
              <w:t>-128,225.31</w:t>
            </w: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7A4434">
            <w:pPr>
              <w:jc w:val="right"/>
              <w:rPr>
                <w:rFonts w:cs="Times New Roman"/>
                <w:sz w:val="15"/>
                <w:szCs w:val="15"/>
              </w:rPr>
            </w:pPr>
            <w:r w:rsidRPr="009955B3">
              <w:rPr>
                <w:rFonts w:cs="Times New Roman"/>
                <w:sz w:val="15"/>
                <w:szCs w:val="15"/>
              </w:rPr>
              <w:t>1,890,157.47</w:t>
            </w: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r>
      <w:tr w:rsidR="00A9288A" w:rsidRPr="009955B3" w:rsidTr="009955B3">
        <w:tc>
          <w:tcPr>
            <w:tcW w:w="416" w:type="pct"/>
            <w:tcBorders>
              <w:top w:val="single" w:sz="4" w:space="0" w:color="auto"/>
              <w:left w:val="single" w:sz="4" w:space="0" w:color="auto"/>
              <w:bottom w:val="single" w:sz="4" w:space="0" w:color="auto"/>
              <w:right w:val="single" w:sz="4" w:space="0" w:color="auto"/>
            </w:tcBorders>
            <w:shd w:val="clear" w:color="auto" w:fill="D3D3D3"/>
            <w:vAlign w:val="center"/>
          </w:tcPr>
          <w:p w:rsidR="00A9288A" w:rsidRPr="009955B3" w:rsidRDefault="007A4434">
            <w:pPr>
              <w:jc w:val="left"/>
              <w:rPr>
                <w:rFonts w:eastAsia="Times New Roman" w:cs="Times New Roman"/>
                <w:sz w:val="15"/>
                <w:szCs w:val="15"/>
              </w:rPr>
            </w:pPr>
            <w:r w:rsidRPr="009955B3">
              <w:rPr>
                <w:rFonts w:hint="eastAsia"/>
                <w:sz w:val="15"/>
                <w:szCs w:val="15"/>
              </w:rPr>
              <w:t>小计</w:t>
            </w: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7A4434">
            <w:pPr>
              <w:jc w:val="right"/>
              <w:rPr>
                <w:rFonts w:cs="Times New Roman"/>
                <w:sz w:val="15"/>
                <w:szCs w:val="15"/>
              </w:rPr>
            </w:pPr>
            <w:r w:rsidRPr="009955B3">
              <w:rPr>
                <w:rFonts w:cs="Times New Roman"/>
                <w:sz w:val="15"/>
                <w:szCs w:val="15"/>
              </w:rPr>
              <w:t>32,175,390.31</w:t>
            </w: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7A4434">
            <w:pPr>
              <w:jc w:val="right"/>
              <w:rPr>
                <w:rFonts w:cs="Times New Roman"/>
                <w:sz w:val="15"/>
                <w:szCs w:val="15"/>
              </w:rPr>
            </w:pPr>
            <w:r w:rsidRPr="009955B3">
              <w:rPr>
                <w:rFonts w:cs="Times New Roman"/>
                <w:sz w:val="15"/>
                <w:szCs w:val="15"/>
              </w:rPr>
              <w:t>-742,371.40</w:t>
            </w: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7A4434">
            <w:pPr>
              <w:jc w:val="right"/>
              <w:rPr>
                <w:rFonts w:cs="Times New Roman"/>
                <w:sz w:val="15"/>
                <w:szCs w:val="15"/>
              </w:rPr>
            </w:pPr>
            <w:r w:rsidRPr="009955B3">
              <w:rPr>
                <w:rFonts w:cs="Times New Roman"/>
                <w:sz w:val="15"/>
                <w:szCs w:val="15"/>
              </w:rPr>
              <w:t>31,433,018.91</w:t>
            </w: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r>
      <w:tr w:rsidR="00A9288A" w:rsidRPr="009955B3" w:rsidTr="009955B3">
        <w:tc>
          <w:tcPr>
            <w:tcW w:w="416" w:type="pct"/>
            <w:tcBorders>
              <w:top w:val="single" w:sz="4" w:space="0" w:color="auto"/>
              <w:left w:val="single" w:sz="4" w:space="0" w:color="auto"/>
              <w:bottom w:val="single" w:sz="4" w:space="0" w:color="auto"/>
              <w:right w:val="single" w:sz="4" w:space="0" w:color="auto"/>
            </w:tcBorders>
            <w:shd w:val="clear" w:color="auto" w:fill="D3D3D3"/>
            <w:vAlign w:val="center"/>
          </w:tcPr>
          <w:p w:rsidR="00A9288A" w:rsidRPr="009955B3" w:rsidRDefault="007A4434">
            <w:pPr>
              <w:jc w:val="left"/>
              <w:rPr>
                <w:rFonts w:eastAsia="Times New Roman" w:cs="Times New Roman"/>
                <w:sz w:val="15"/>
                <w:szCs w:val="15"/>
              </w:rPr>
            </w:pPr>
            <w:r w:rsidRPr="009955B3">
              <w:rPr>
                <w:rFonts w:hint="eastAsia"/>
                <w:sz w:val="15"/>
                <w:szCs w:val="15"/>
              </w:rPr>
              <w:t>合计</w:t>
            </w:r>
          </w:p>
        </w:tc>
        <w:tc>
          <w:tcPr>
            <w:tcW w:w="416" w:type="pct"/>
            <w:tcBorders>
              <w:top w:val="single" w:sz="4" w:space="0" w:color="auto"/>
              <w:left w:val="single" w:sz="4" w:space="0" w:color="auto"/>
              <w:bottom w:val="single" w:sz="4" w:space="0" w:color="auto"/>
              <w:right w:val="single" w:sz="4" w:space="0" w:color="auto"/>
            </w:tcBorders>
            <w:vAlign w:val="center"/>
          </w:tcPr>
          <w:p w:rsidR="00A9288A" w:rsidRPr="009955B3" w:rsidRDefault="007A4434">
            <w:pPr>
              <w:jc w:val="right"/>
              <w:rPr>
                <w:rFonts w:cs="Times New Roman"/>
                <w:sz w:val="15"/>
                <w:szCs w:val="15"/>
              </w:rPr>
            </w:pPr>
            <w:r w:rsidRPr="009955B3">
              <w:rPr>
                <w:rFonts w:cs="Times New Roman"/>
                <w:sz w:val="15"/>
                <w:szCs w:val="15"/>
              </w:rPr>
              <w:t>32,175,390.31</w:t>
            </w: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7A4434">
            <w:pPr>
              <w:jc w:val="right"/>
              <w:rPr>
                <w:rFonts w:cs="Times New Roman"/>
                <w:sz w:val="15"/>
                <w:szCs w:val="15"/>
              </w:rPr>
            </w:pPr>
            <w:r w:rsidRPr="009955B3">
              <w:rPr>
                <w:rFonts w:cs="Times New Roman"/>
                <w:sz w:val="15"/>
                <w:szCs w:val="15"/>
              </w:rPr>
              <w:t>-742,371.40</w:t>
            </w: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A9288A" w:rsidRPr="009955B3" w:rsidRDefault="00A9288A">
            <w:pPr>
              <w:jc w:val="right"/>
              <w:rPr>
                <w:rFonts w:cs="Times New Roman"/>
                <w:sz w:val="15"/>
                <w:szCs w:val="15"/>
              </w:rPr>
            </w:pPr>
          </w:p>
        </w:tc>
        <w:tc>
          <w:tcPr>
            <w:tcW w:w="417" w:type="pct"/>
            <w:tcBorders>
              <w:top w:val="single" w:sz="4" w:space="0" w:color="auto"/>
              <w:left w:val="single" w:sz="4" w:space="0" w:color="auto"/>
              <w:bottom w:val="single" w:sz="4" w:space="0" w:color="auto"/>
              <w:right w:val="single" w:sz="4" w:space="0" w:color="auto"/>
            </w:tcBorders>
            <w:vAlign w:val="center"/>
          </w:tcPr>
          <w:p w:rsidR="00A9288A" w:rsidRPr="009955B3" w:rsidRDefault="007A4434">
            <w:pPr>
              <w:jc w:val="right"/>
              <w:rPr>
                <w:rFonts w:cs="Times New Roman"/>
                <w:sz w:val="15"/>
                <w:szCs w:val="15"/>
              </w:rPr>
            </w:pPr>
            <w:r w:rsidRPr="009955B3">
              <w:rPr>
                <w:rFonts w:cs="Times New Roman"/>
                <w:sz w:val="15"/>
                <w:szCs w:val="15"/>
              </w:rPr>
              <w:t>31,433,018.91</w:t>
            </w:r>
          </w:p>
        </w:tc>
        <w:tc>
          <w:tcPr>
            <w:tcW w:w="417" w:type="pct"/>
            <w:tcBorders>
              <w:top w:val="single" w:sz="4" w:space="0" w:color="auto"/>
              <w:left w:val="single" w:sz="4" w:space="0" w:color="auto"/>
              <w:bottom w:val="single" w:sz="4" w:space="0" w:color="auto"/>
              <w:right w:val="single" w:sz="4" w:space="0" w:color="auto"/>
            </w:tcBorders>
            <w:vAlign w:val="center"/>
          </w:tcPr>
          <w:p w:rsidR="00A9288A" w:rsidRPr="009955B3" w:rsidRDefault="00A9288A">
            <w:pPr>
              <w:jc w:val="right"/>
              <w:rPr>
                <w:rFonts w:cs="Times New Roman"/>
                <w:sz w:val="15"/>
                <w:szCs w:val="15"/>
              </w:rPr>
            </w:pPr>
          </w:p>
        </w:tc>
      </w:tr>
    </w:tbl>
    <w:p w:rsidR="00A9288A" w:rsidRDefault="007A4434">
      <w:pPr>
        <w:pStyle w:val="Section"/>
        <w:outlineLvl w:val="3"/>
        <w:rPr>
          <w:rFonts w:eastAsia="Times New Roman" w:cs="Times New Roman"/>
        </w:rPr>
      </w:pPr>
      <w:r>
        <w:rPr>
          <w:rFonts w:hint="eastAsia"/>
        </w:rPr>
        <w:t>（</w:t>
      </w:r>
      <w:r>
        <w:rPr>
          <w:rFonts w:cs="Times New Roman"/>
        </w:rPr>
        <w:t>3</w:t>
      </w:r>
      <w:r>
        <w:rPr>
          <w:rFonts w:hint="eastAsia"/>
        </w:rPr>
        <w:t>）其他说明</w:t>
      </w:r>
    </w:p>
    <w:p w:rsidR="00A9288A" w:rsidRDefault="007A4434">
      <w:pPr>
        <w:pStyle w:val="Section"/>
        <w:outlineLvl w:val="2"/>
        <w:rPr>
          <w:rFonts w:eastAsia="Times New Roman" w:cs="Times New Roman"/>
        </w:rPr>
      </w:pPr>
      <w:r>
        <w:rPr>
          <w:rFonts w:cs="Times New Roman"/>
        </w:rPr>
        <w:t>4</w:t>
      </w:r>
      <w:r>
        <w:rPr>
          <w:rFonts w:hint="eastAsia"/>
        </w:rPr>
        <w:t>、营业收入和营业成本</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1994"/>
        <w:gridCol w:w="1837"/>
        <w:gridCol w:w="1913"/>
        <w:gridCol w:w="1913"/>
        <w:gridCol w:w="1913"/>
      </w:tblGrid>
      <w:tr w:rsidR="00A9288A">
        <w:tc>
          <w:tcPr>
            <w:tcW w:w="1994"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750"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c>
          <w:tcPr>
            <w:tcW w:w="3826"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上期发生额</w:t>
            </w:r>
          </w:p>
        </w:tc>
      </w:tr>
      <w:tr w:rsidR="00A9288A">
        <w:tc>
          <w:tcPr>
            <w:tcW w:w="1994"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837"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收入</w:t>
            </w:r>
          </w:p>
        </w:tc>
        <w:tc>
          <w:tcPr>
            <w:tcW w:w="191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成本</w:t>
            </w:r>
          </w:p>
        </w:tc>
        <w:tc>
          <w:tcPr>
            <w:tcW w:w="191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收入</w:t>
            </w:r>
          </w:p>
        </w:tc>
        <w:tc>
          <w:tcPr>
            <w:tcW w:w="191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成本</w:t>
            </w:r>
          </w:p>
        </w:tc>
      </w:tr>
      <w:tr w:rsidR="00A9288A">
        <w:tc>
          <w:tcPr>
            <w:tcW w:w="19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主营业务</w:t>
            </w:r>
          </w:p>
        </w:tc>
        <w:tc>
          <w:tcPr>
            <w:tcW w:w="183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82,862,237.53</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36,453,150.08</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99,212,108.28</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46,601,869.16</w:t>
            </w:r>
          </w:p>
        </w:tc>
      </w:tr>
      <w:tr w:rsidR="00A9288A">
        <w:tc>
          <w:tcPr>
            <w:tcW w:w="19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其他业务</w:t>
            </w:r>
          </w:p>
        </w:tc>
        <w:tc>
          <w:tcPr>
            <w:tcW w:w="183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1,605,451.29</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531,899.14</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498,651.71</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662,738.36</w:t>
            </w:r>
          </w:p>
        </w:tc>
      </w:tr>
      <w:tr w:rsidR="00A9288A">
        <w:tc>
          <w:tcPr>
            <w:tcW w:w="199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1837"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84,467,688.82</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36,985,049.22</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99,710,759.99</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47,264,607.52</w:t>
            </w:r>
          </w:p>
        </w:tc>
      </w:tr>
    </w:tbl>
    <w:p w:rsidR="00A9288A" w:rsidRDefault="007A4434">
      <w:pPr>
        <w:jc w:val="left"/>
        <w:rPr>
          <w:rFonts w:eastAsia="Times New Roman" w:cs="Times New Roman"/>
        </w:rPr>
      </w:pPr>
      <w:r>
        <w:rPr>
          <w:rFonts w:hint="eastAsia"/>
        </w:rPr>
        <w:t>其他说明：</w:t>
      </w:r>
    </w:p>
    <w:p w:rsidR="00A9288A" w:rsidRDefault="007A4434">
      <w:pPr>
        <w:pStyle w:val="Section"/>
        <w:outlineLvl w:val="2"/>
        <w:rPr>
          <w:rFonts w:eastAsia="Times New Roman" w:cs="Times New Roman"/>
        </w:rPr>
      </w:pPr>
      <w:r>
        <w:rPr>
          <w:rFonts w:cs="Times New Roman"/>
        </w:rPr>
        <w:t>5</w:t>
      </w:r>
      <w:r>
        <w:rPr>
          <w:rFonts w:hint="eastAsia"/>
        </w:rPr>
        <w:t>、投资收益</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324"/>
        <w:gridCol w:w="3059"/>
        <w:gridCol w:w="3186"/>
      </w:tblGrid>
      <w:tr w:rsidR="00A9288A">
        <w:tc>
          <w:tcPr>
            <w:tcW w:w="332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05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本期发生额</w:t>
            </w:r>
          </w:p>
        </w:tc>
        <w:tc>
          <w:tcPr>
            <w:tcW w:w="318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上期发生额</w:t>
            </w:r>
          </w:p>
        </w:tc>
      </w:tr>
      <w:tr w:rsidR="00A9288A">
        <w:tc>
          <w:tcPr>
            <w:tcW w:w="332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权益法核算的长期股权投资收益</w:t>
            </w:r>
          </w:p>
        </w:tc>
        <w:tc>
          <w:tcPr>
            <w:tcW w:w="305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-742,371.40</w:t>
            </w:r>
          </w:p>
        </w:tc>
        <w:tc>
          <w:tcPr>
            <w:tcW w:w="318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-415,274.30</w:t>
            </w:r>
          </w:p>
        </w:tc>
      </w:tr>
      <w:tr w:rsidR="00A9288A">
        <w:tc>
          <w:tcPr>
            <w:tcW w:w="332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处置长期股权投资产生的投资收益</w:t>
            </w:r>
          </w:p>
        </w:tc>
        <w:tc>
          <w:tcPr>
            <w:tcW w:w="305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-3,688,197.66</w:t>
            </w:r>
          </w:p>
        </w:tc>
        <w:tc>
          <w:tcPr>
            <w:tcW w:w="318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right"/>
              <w:rPr>
                <w:rFonts w:cs="Times New Roman"/>
              </w:rPr>
            </w:pPr>
          </w:p>
        </w:tc>
      </w:tr>
      <w:tr w:rsidR="00A9288A">
        <w:tc>
          <w:tcPr>
            <w:tcW w:w="332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eastAsia="Times New Roman" w:cs="Times New Roman"/>
              </w:rPr>
            </w:pPr>
            <w:r>
              <w:rPr>
                <w:rFonts w:hint="eastAsia"/>
              </w:rPr>
              <w:t>理财产品收益</w:t>
            </w:r>
          </w:p>
        </w:tc>
        <w:tc>
          <w:tcPr>
            <w:tcW w:w="305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249,853.43</w:t>
            </w:r>
          </w:p>
        </w:tc>
        <w:tc>
          <w:tcPr>
            <w:tcW w:w="318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1,129,346.97</w:t>
            </w:r>
          </w:p>
        </w:tc>
      </w:tr>
      <w:tr w:rsidR="00A9288A">
        <w:tc>
          <w:tcPr>
            <w:tcW w:w="332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059"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-4,180,715.63</w:t>
            </w:r>
          </w:p>
        </w:tc>
        <w:tc>
          <w:tcPr>
            <w:tcW w:w="3186"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714,072.67</w:t>
            </w:r>
          </w:p>
        </w:tc>
      </w:tr>
    </w:tbl>
    <w:p w:rsidR="00A9288A" w:rsidRDefault="007A4434">
      <w:pPr>
        <w:pStyle w:val="Section"/>
        <w:outlineLvl w:val="2"/>
        <w:rPr>
          <w:rFonts w:eastAsia="Times New Roman" w:cs="Times New Roman"/>
        </w:rPr>
      </w:pPr>
      <w:r>
        <w:rPr>
          <w:rFonts w:cs="Times New Roman"/>
        </w:rPr>
        <w:t>6</w:t>
      </w:r>
      <w:r>
        <w:rPr>
          <w:rFonts w:hint="eastAsia"/>
        </w:rPr>
        <w:t>、其他</w:t>
      </w:r>
    </w:p>
    <w:p w:rsidR="00A9288A" w:rsidRDefault="007A4434">
      <w:pPr>
        <w:pStyle w:val="Chapter"/>
        <w:outlineLvl w:val="1"/>
        <w:rPr>
          <w:rFonts w:eastAsia="Times New Roman" w:cs="Times New Roman"/>
        </w:rPr>
      </w:pPr>
      <w:r>
        <w:rPr>
          <w:rFonts w:hint="eastAsia"/>
        </w:rPr>
        <w:t>十八、补充资料</w:t>
      </w:r>
    </w:p>
    <w:p w:rsidR="00A9288A" w:rsidRDefault="007A4434">
      <w:pPr>
        <w:pStyle w:val="Section"/>
        <w:outlineLvl w:val="2"/>
        <w:rPr>
          <w:rFonts w:eastAsia="Times New Roman" w:cs="Times New Roman"/>
        </w:rPr>
      </w:pPr>
      <w:r>
        <w:rPr>
          <w:rFonts w:cs="Times New Roman"/>
        </w:rPr>
        <w:t>1</w:t>
      </w:r>
      <w:r>
        <w:rPr>
          <w:rFonts w:hint="eastAsia"/>
        </w:rPr>
        <w:t>、当期非经常性损益明细表</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jc w:val="right"/>
        <w:rPr>
          <w:rFonts w:eastAsia="Times New Roman" w:cs="Times New Roman"/>
        </w:rPr>
      </w:pPr>
      <w:r>
        <w:rPr>
          <w:rFonts w:hint="eastAsia"/>
        </w:rPr>
        <w:t>单位：</w:t>
      </w:r>
      <w:r>
        <w:rPr>
          <w:rFonts w:cs="Times New Roman"/>
        </w:rPr>
        <w:t xml:space="preserve"> </w:t>
      </w:r>
      <w:r>
        <w:rPr>
          <w:rFonts w:hint="eastAsia"/>
        </w:rPr>
        <w:t>元</w:t>
      </w:r>
    </w:p>
    <w:tbl>
      <w:tblPr>
        <w:tblW w:w="0" w:type="auto"/>
        <w:tblInd w:w="-5" w:type="dxa"/>
        <w:tblLayout w:type="fixed"/>
        <w:tblCellMar>
          <w:left w:w="28" w:type="dxa"/>
          <w:right w:w="28" w:type="dxa"/>
        </w:tblCellMar>
        <w:tblLook w:val="0000" w:firstRow="0" w:lastRow="0" w:firstColumn="0" w:lastColumn="0" w:noHBand="0" w:noVBand="0"/>
      </w:tblPr>
      <w:tblGrid>
        <w:gridCol w:w="3324"/>
        <w:gridCol w:w="3059"/>
        <w:gridCol w:w="3186"/>
      </w:tblGrid>
      <w:tr w:rsidR="00A9288A">
        <w:tc>
          <w:tcPr>
            <w:tcW w:w="332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项目</w:t>
            </w:r>
          </w:p>
        </w:tc>
        <w:tc>
          <w:tcPr>
            <w:tcW w:w="3059"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金额</w:t>
            </w:r>
          </w:p>
        </w:tc>
        <w:tc>
          <w:tcPr>
            <w:tcW w:w="318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说明</w:t>
            </w:r>
          </w:p>
        </w:tc>
      </w:tr>
      <w:tr w:rsidR="00A9288A">
        <w:tc>
          <w:tcPr>
            <w:tcW w:w="332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非流动资产处置损益</w:t>
            </w:r>
          </w:p>
        </w:tc>
        <w:tc>
          <w:tcPr>
            <w:tcW w:w="305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312,522.81</w:t>
            </w:r>
          </w:p>
        </w:tc>
        <w:tc>
          <w:tcPr>
            <w:tcW w:w="318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r>
      <w:tr w:rsidR="00A9288A">
        <w:tc>
          <w:tcPr>
            <w:tcW w:w="332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lastRenderedPageBreak/>
              <w:t>计入当期损益的政府补助（与企业业务密切相关，按照国家统一标准定额或定量享受的政府补助除外）</w:t>
            </w:r>
          </w:p>
        </w:tc>
        <w:tc>
          <w:tcPr>
            <w:tcW w:w="305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15,915,564.48</w:t>
            </w:r>
          </w:p>
        </w:tc>
        <w:tc>
          <w:tcPr>
            <w:tcW w:w="318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r>
      <w:tr w:rsidR="00A9288A">
        <w:tc>
          <w:tcPr>
            <w:tcW w:w="332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除上述各项之外的其他营业外收入和支出</w:t>
            </w:r>
          </w:p>
        </w:tc>
        <w:tc>
          <w:tcPr>
            <w:tcW w:w="305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192,345.04</w:t>
            </w:r>
          </w:p>
        </w:tc>
        <w:tc>
          <w:tcPr>
            <w:tcW w:w="318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r>
      <w:tr w:rsidR="00A9288A">
        <w:tc>
          <w:tcPr>
            <w:tcW w:w="3324"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left"/>
              <w:rPr>
                <w:rFonts w:cs="Times New Roman"/>
              </w:rPr>
            </w:pPr>
            <w:r>
              <w:rPr>
                <w:rFonts w:cs="Times New Roman"/>
              </w:rPr>
              <w:t xml:space="preserve"> </w:t>
            </w:r>
            <w:r>
              <w:rPr>
                <w:rFonts w:hint="eastAsia"/>
              </w:rPr>
              <w:t>处置长期股权投资收益</w:t>
            </w:r>
            <w:r>
              <w:rPr>
                <w:rFonts w:cs="Times New Roman"/>
              </w:rPr>
              <w:t xml:space="preserve"> </w:t>
            </w:r>
          </w:p>
        </w:tc>
        <w:tc>
          <w:tcPr>
            <w:tcW w:w="305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28,125.39</w:t>
            </w:r>
          </w:p>
        </w:tc>
        <w:tc>
          <w:tcPr>
            <w:tcW w:w="318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r>
      <w:tr w:rsidR="00A9288A">
        <w:tc>
          <w:tcPr>
            <w:tcW w:w="332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减：所得税影响额</w:t>
            </w:r>
          </w:p>
        </w:tc>
        <w:tc>
          <w:tcPr>
            <w:tcW w:w="305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2,368,913.55</w:t>
            </w:r>
          </w:p>
        </w:tc>
        <w:tc>
          <w:tcPr>
            <w:tcW w:w="318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r>
      <w:tr w:rsidR="00A9288A">
        <w:tc>
          <w:tcPr>
            <w:tcW w:w="332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 xml:space="preserve">　　少数股东权益影响额</w:t>
            </w:r>
          </w:p>
        </w:tc>
        <w:tc>
          <w:tcPr>
            <w:tcW w:w="305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810,363.50</w:t>
            </w:r>
          </w:p>
        </w:tc>
        <w:tc>
          <w:tcPr>
            <w:tcW w:w="3186"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A9288A">
            <w:pPr>
              <w:jc w:val="left"/>
              <w:rPr>
                <w:rFonts w:eastAsia="Times New Roman" w:cs="Times New Roman"/>
              </w:rPr>
            </w:pPr>
          </w:p>
        </w:tc>
      </w:tr>
      <w:tr w:rsidR="00A9288A">
        <w:tc>
          <w:tcPr>
            <w:tcW w:w="3324"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合计</w:t>
            </w:r>
          </w:p>
        </w:tc>
        <w:tc>
          <w:tcPr>
            <w:tcW w:w="3059"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13,269,280.67</w:t>
            </w:r>
          </w:p>
        </w:tc>
        <w:tc>
          <w:tcPr>
            <w:tcW w:w="3186"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eastAsia="Times New Roman" w:cs="Times New Roman"/>
              </w:rPr>
              <w:t>--</w:t>
            </w:r>
          </w:p>
        </w:tc>
      </w:tr>
    </w:tbl>
    <w:p w:rsidR="00A9288A" w:rsidRDefault="007A4434">
      <w:pPr>
        <w:jc w:val="left"/>
        <w:rPr>
          <w:rFonts w:eastAsia="Times New Roman" w:cs="Times New Roman"/>
        </w:rPr>
      </w:pPr>
      <w:r>
        <w:rPr>
          <w:rFonts w:hint="eastAsia"/>
        </w:rPr>
        <w:t>对公司根据《公开发行证券的公司信息披露解释性公告第</w:t>
      </w:r>
      <w:r>
        <w:rPr>
          <w:rFonts w:cs="Times New Roman"/>
        </w:rPr>
        <w:t>1</w:t>
      </w:r>
      <w:r>
        <w:rPr>
          <w:rFonts w:hint="eastAsia"/>
        </w:rPr>
        <w:t>号</w:t>
      </w:r>
      <w:r>
        <w:rPr>
          <w:rFonts w:cs="Times New Roman"/>
        </w:rPr>
        <w:t>——</w:t>
      </w:r>
      <w:r>
        <w:rPr>
          <w:rFonts w:hint="eastAsia"/>
        </w:rPr>
        <w:t>非经常性损益》定义界定的非经常性损益项目，以及把《公开发行证券的公司信息披露解释性公告第</w:t>
      </w:r>
      <w:r>
        <w:rPr>
          <w:rFonts w:cs="Times New Roman"/>
        </w:rPr>
        <w:t>1</w:t>
      </w:r>
      <w:r>
        <w:rPr>
          <w:rFonts w:hint="eastAsia"/>
        </w:rPr>
        <w:t>号</w:t>
      </w:r>
      <w:r>
        <w:rPr>
          <w:rFonts w:cs="Times New Roman"/>
        </w:rPr>
        <w:t>——</w:t>
      </w:r>
      <w:r>
        <w:rPr>
          <w:rFonts w:hint="eastAsia"/>
        </w:rPr>
        <w:t>非经常性损益》中列举的非经常性损益项目界定为经常性损益的项目，应说明原因。</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Section"/>
        <w:outlineLvl w:val="2"/>
        <w:rPr>
          <w:rFonts w:eastAsia="Times New Roman" w:cs="Times New Roman"/>
        </w:rPr>
      </w:pPr>
      <w:r>
        <w:rPr>
          <w:rFonts w:cs="Times New Roman"/>
        </w:rPr>
        <w:t>2</w:t>
      </w:r>
      <w:r>
        <w:rPr>
          <w:rFonts w:hint="eastAsia"/>
        </w:rPr>
        <w:t>、净资产收益率及每股收益</w:t>
      </w:r>
    </w:p>
    <w:tbl>
      <w:tblPr>
        <w:tblW w:w="0" w:type="auto"/>
        <w:tblInd w:w="-5" w:type="dxa"/>
        <w:tblLayout w:type="fixed"/>
        <w:tblCellMar>
          <w:left w:w="28" w:type="dxa"/>
          <w:right w:w="28" w:type="dxa"/>
        </w:tblCellMar>
        <w:tblLook w:val="0000" w:firstRow="0" w:lastRow="0" w:firstColumn="0" w:lastColumn="0" w:noHBand="0" w:noVBand="0"/>
      </w:tblPr>
      <w:tblGrid>
        <w:gridCol w:w="2662"/>
        <w:gridCol w:w="3080"/>
        <w:gridCol w:w="1913"/>
        <w:gridCol w:w="1913"/>
      </w:tblGrid>
      <w:tr w:rsidR="00A9288A">
        <w:tc>
          <w:tcPr>
            <w:tcW w:w="2662"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报告期利润</w:t>
            </w:r>
          </w:p>
        </w:tc>
        <w:tc>
          <w:tcPr>
            <w:tcW w:w="3080"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加权平均净资产收益率</w:t>
            </w:r>
          </w:p>
        </w:tc>
        <w:tc>
          <w:tcPr>
            <w:tcW w:w="3826"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每股收益</w:t>
            </w:r>
          </w:p>
        </w:tc>
      </w:tr>
      <w:tr w:rsidR="00A9288A">
        <w:tc>
          <w:tcPr>
            <w:tcW w:w="2662"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3080" w:type="dxa"/>
            <w:vMerge/>
            <w:tcBorders>
              <w:top w:val="single" w:sz="4" w:space="0" w:color="auto"/>
              <w:left w:val="single" w:sz="4" w:space="0" w:color="auto"/>
              <w:bottom w:val="single" w:sz="4" w:space="0" w:color="auto"/>
              <w:right w:val="single" w:sz="4" w:space="0" w:color="auto"/>
            </w:tcBorders>
            <w:vAlign w:val="center"/>
          </w:tcPr>
          <w:p w:rsidR="00A9288A" w:rsidRDefault="00A9288A">
            <w:pPr>
              <w:jc w:val="center"/>
              <w:rPr>
                <w:rFonts w:eastAsia="Times New Roman" w:cs="Times New Roman"/>
              </w:rPr>
            </w:pPr>
          </w:p>
        </w:tc>
        <w:tc>
          <w:tcPr>
            <w:tcW w:w="191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基本每股收益（元</w:t>
            </w:r>
            <w:r>
              <w:rPr>
                <w:rFonts w:cs="Times New Roman"/>
              </w:rPr>
              <w:t>/</w:t>
            </w:r>
            <w:r>
              <w:rPr>
                <w:rFonts w:hint="eastAsia"/>
              </w:rPr>
              <w:t>股）</w:t>
            </w:r>
          </w:p>
        </w:tc>
        <w:tc>
          <w:tcPr>
            <w:tcW w:w="1913"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center"/>
              <w:rPr>
                <w:rFonts w:eastAsia="Times New Roman" w:cs="Times New Roman"/>
              </w:rPr>
            </w:pPr>
            <w:r>
              <w:rPr>
                <w:rFonts w:hint="eastAsia"/>
              </w:rPr>
              <w:t>稀释每股收益（元</w:t>
            </w:r>
            <w:r>
              <w:rPr>
                <w:rFonts w:cs="Times New Roman"/>
              </w:rPr>
              <w:t>/</w:t>
            </w:r>
            <w:r>
              <w:rPr>
                <w:rFonts w:hint="eastAsia"/>
              </w:rPr>
              <w:t>股）</w:t>
            </w:r>
          </w:p>
        </w:tc>
      </w:tr>
      <w:tr w:rsidR="00A9288A">
        <w:tc>
          <w:tcPr>
            <w:tcW w:w="266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归属于公司普通股股东的净利润</w:t>
            </w:r>
          </w:p>
        </w:tc>
        <w:tc>
          <w:tcPr>
            <w:tcW w:w="308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4.76%</w:t>
            </w:r>
          </w:p>
        </w:tc>
        <w:tc>
          <w:tcPr>
            <w:tcW w:w="191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0.1645</w:t>
            </w:r>
          </w:p>
        </w:tc>
        <w:tc>
          <w:tcPr>
            <w:tcW w:w="1913" w:type="dxa"/>
            <w:tcBorders>
              <w:top w:val="single" w:sz="4" w:space="0" w:color="auto"/>
              <w:left w:val="single" w:sz="4" w:space="0" w:color="auto"/>
              <w:bottom w:val="single" w:sz="4" w:space="0" w:color="auto"/>
              <w:right w:val="single" w:sz="4" w:space="0" w:color="auto"/>
            </w:tcBorders>
            <w:vAlign w:val="center"/>
          </w:tcPr>
          <w:p w:rsidR="00A9288A" w:rsidRDefault="007A4434">
            <w:pPr>
              <w:jc w:val="right"/>
              <w:rPr>
                <w:rFonts w:cs="Times New Roman"/>
              </w:rPr>
            </w:pPr>
            <w:r>
              <w:rPr>
                <w:rFonts w:cs="Times New Roman"/>
              </w:rPr>
              <w:t>0.1645</w:t>
            </w:r>
          </w:p>
        </w:tc>
      </w:tr>
      <w:tr w:rsidR="00A9288A">
        <w:tc>
          <w:tcPr>
            <w:tcW w:w="2662" w:type="dxa"/>
            <w:tcBorders>
              <w:top w:val="single" w:sz="4" w:space="0" w:color="auto"/>
              <w:left w:val="single" w:sz="4" w:space="0" w:color="auto"/>
              <w:bottom w:val="single" w:sz="4" w:space="0" w:color="auto"/>
              <w:right w:val="single" w:sz="4" w:space="0" w:color="auto"/>
            </w:tcBorders>
            <w:shd w:val="clear" w:color="auto" w:fill="D3D3D3"/>
            <w:vAlign w:val="center"/>
          </w:tcPr>
          <w:p w:rsidR="00A9288A" w:rsidRDefault="007A4434">
            <w:pPr>
              <w:jc w:val="left"/>
              <w:rPr>
                <w:rFonts w:eastAsia="Times New Roman" w:cs="Times New Roman"/>
              </w:rPr>
            </w:pPr>
            <w:r>
              <w:rPr>
                <w:rFonts w:hint="eastAsia"/>
              </w:rPr>
              <w:t>扣除非经常性损益后归属于公司普通股股东的净利润</w:t>
            </w:r>
          </w:p>
        </w:tc>
        <w:tc>
          <w:tcPr>
            <w:tcW w:w="3080"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3.70%</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0.1276</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A9288A" w:rsidRDefault="007A4434">
            <w:pPr>
              <w:jc w:val="right"/>
              <w:rPr>
                <w:rFonts w:cs="Times New Roman"/>
              </w:rPr>
            </w:pPr>
            <w:r>
              <w:rPr>
                <w:rFonts w:cs="Times New Roman"/>
              </w:rPr>
              <w:t>0.1276</w:t>
            </w:r>
          </w:p>
        </w:tc>
      </w:tr>
    </w:tbl>
    <w:p w:rsidR="00A9288A" w:rsidRDefault="007A4434">
      <w:pPr>
        <w:pStyle w:val="Section"/>
        <w:outlineLvl w:val="2"/>
        <w:rPr>
          <w:rFonts w:eastAsia="Times New Roman" w:cs="Times New Roman"/>
        </w:rPr>
      </w:pPr>
      <w:r>
        <w:rPr>
          <w:rFonts w:cs="Times New Roman"/>
        </w:rPr>
        <w:t>3</w:t>
      </w:r>
      <w:r>
        <w:rPr>
          <w:rFonts w:hint="eastAsia"/>
        </w:rPr>
        <w:t>、境内外会计准则下会计数据差异</w:t>
      </w:r>
    </w:p>
    <w:p w:rsidR="00A9288A" w:rsidRDefault="007A4434">
      <w:pPr>
        <w:pStyle w:val="Section"/>
        <w:outlineLvl w:val="3"/>
        <w:rPr>
          <w:rFonts w:eastAsia="Times New Roman" w:cs="Times New Roman"/>
        </w:rPr>
      </w:pPr>
      <w:r>
        <w:rPr>
          <w:rFonts w:hint="eastAsia"/>
        </w:rPr>
        <w:t>（</w:t>
      </w:r>
      <w:r>
        <w:rPr>
          <w:rFonts w:cs="Times New Roman"/>
        </w:rPr>
        <w:t>1</w:t>
      </w:r>
      <w:r>
        <w:rPr>
          <w:rFonts w:hint="eastAsia"/>
        </w:rPr>
        <w:t>）同时按照国际会计准则与按中国会计准则披露的财务报告中净利润和净资产差异情况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Section"/>
        <w:outlineLvl w:val="3"/>
        <w:rPr>
          <w:rFonts w:eastAsia="Times New Roman" w:cs="Times New Roman"/>
        </w:rPr>
      </w:pPr>
      <w:r>
        <w:rPr>
          <w:rFonts w:hint="eastAsia"/>
        </w:rPr>
        <w:t>（</w:t>
      </w:r>
      <w:r>
        <w:rPr>
          <w:rFonts w:cs="Times New Roman"/>
        </w:rPr>
        <w:t>2</w:t>
      </w:r>
      <w:r>
        <w:rPr>
          <w:rFonts w:hint="eastAsia"/>
        </w:rPr>
        <w:t>）同时按照境外会计准则与按中国会计准则披露的财务报告中净利润和净资产差异情况</w:t>
      </w:r>
    </w:p>
    <w:p w:rsidR="00A9288A" w:rsidRDefault="007A4434">
      <w:pPr>
        <w:jc w:val="left"/>
        <w:rPr>
          <w:rFonts w:cs="Times New Roman"/>
        </w:rPr>
      </w:pPr>
      <w:r>
        <w:rPr>
          <w:rFonts w:cs="Times New Roman"/>
        </w:rPr>
        <w:t xml:space="preserve">□ </w:t>
      </w:r>
      <w:r>
        <w:rPr>
          <w:rFonts w:hint="eastAsia"/>
        </w:rPr>
        <w:t>适用</w:t>
      </w:r>
      <w:r>
        <w:rPr>
          <w:rFonts w:cs="Times New Roman"/>
        </w:rPr>
        <w:t xml:space="preserve"> √ </w:t>
      </w:r>
      <w:r>
        <w:rPr>
          <w:rFonts w:hint="eastAsia"/>
        </w:rPr>
        <w:t>不适用</w:t>
      </w:r>
      <w:r>
        <w:rPr>
          <w:rFonts w:cs="Times New Roman"/>
        </w:rPr>
        <w:t xml:space="preserve"> </w:t>
      </w:r>
    </w:p>
    <w:p w:rsidR="00A9288A" w:rsidRDefault="007A4434">
      <w:pPr>
        <w:pStyle w:val="Section"/>
        <w:outlineLvl w:val="3"/>
        <w:rPr>
          <w:rFonts w:eastAsia="Times New Roman" w:cs="Times New Roman"/>
        </w:rPr>
      </w:pPr>
      <w:r>
        <w:rPr>
          <w:rFonts w:hint="eastAsia"/>
        </w:rPr>
        <w:t>（</w:t>
      </w:r>
      <w:r>
        <w:rPr>
          <w:rFonts w:cs="Times New Roman"/>
        </w:rPr>
        <w:t>3</w:t>
      </w:r>
      <w:r>
        <w:rPr>
          <w:rFonts w:hint="eastAsia"/>
        </w:rPr>
        <w:t>）境内外会计准则下会计数据差异原因说明，对已经境外审计机构审计的数据进行差异调节的，应注明该境外机构的名称</w:t>
      </w:r>
    </w:p>
    <w:p w:rsidR="00A9288A" w:rsidRDefault="007A4434">
      <w:pPr>
        <w:pStyle w:val="Section"/>
        <w:outlineLvl w:val="2"/>
        <w:rPr>
          <w:rFonts w:eastAsia="Times New Roman" w:cs="Times New Roman"/>
        </w:rPr>
      </w:pPr>
      <w:r>
        <w:rPr>
          <w:rFonts w:cs="Times New Roman"/>
        </w:rPr>
        <w:t>4</w:t>
      </w:r>
      <w:r>
        <w:rPr>
          <w:rFonts w:hint="eastAsia"/>
        </w:rPr>
        <w:t>、其他</w:t>
      </w:r>
    </w:p>
    <w:p w:rsidR="00A9288A" w:rsidRDefault="00A9288A">
      <w:pPr>
        <w:pStyle w:val="Section"/>
        <w:outlineLvl w:val="2"/>
        <w:rPr>
          <w:rFonts w:eastAsia="Times New Roman" w:cs="Times New Roman"/>
        </w:rPr>
        <w:sectPr w:rsidR="00A9288A">
          <w:pgSz w:w="11906" w:h="16838"/>
          <w:pgMar w:top="1440" w:right="1134" w:bottom="1440" w:left="1134" w:header="851" w:footer="992" w:gutter="0"/>
          <w:cols w:space="720"/>
          <w:docGrid w:type="lines" w:linePitch="312"/>
        </w:sectPr>
      </w:pPr>
    </w:p>
    <w:p w:rsidR="00A9288A" w:rsidRDefault="007A4434">
      <w:pPr>
        <w:pStyle w:val="a6"/>
        <w:outlineLvl w:val="0"/>
        <w:rPr>
          <w:rFonts w:eastAsia="Times New Roman" w:cs="Times New Roman"/>
        </w:rPr>
      </w:pPr>
      <w:bookmarkStart w:id="11" w:name="_Toc521663262"/>
      <w:r>
        <w:rPr>
          <w:rFonts w:hint="eastAsia"/>
        </w:rPr>
        <w:lastRenderedPageBreak/>
        <w:t>第十一节</w:t>
      </w:r>
      <w:r>
        <w:rPr>
          <w:rFonts w:cs="Times New Roman"/>
        </w:rPr>
        <w:t xml:space="preserve"> </w:t>
      </w:r>
      <w:r>
        <w:rPr>
          <w:rFonts w:hint="eastAsia"/>
        </w:rPr>
        <w:t>备查文件目录</w:t>
      </w:r>
      <w:bookmarkEnd w:id="11"/>
    </w:p>
    <w:p w:rsidR="00A9288A" w:rsidRDefault="007A4434">
      <w:pPr>
        <w:autoSpaceDE w:val="0"/>
        <w:autoSpaceDN w:val="0"/>
        <w:adjustRightInd w:val="0"/>
        <w:spacing w:before="0" w:after="0"/>
        <w:jc w:val="left"/>
        <w:rPr>
          <w:rFonts w:eastAsia="Times New Roman" w:cs="Times New Roman"/>
          <w:kern w:val="0"/>
          <w:sz w:val="21"/>
          <w:szCs w:val="21"/>
          <w:lang w:val="zh-CN"/>
        </w:rPr>
      </w:pPr>
      <w:r>
        <w:rPr>
          <w:rFonts w:ascii="宋体" w:hAnsi="宋体" w:hint="eastAsia"/>
          <w:kern w:val="0"/>
          <w:sz w:val="21"/>
          <w:szCs w:val="21"/>
          <w:lang w:val="zh-CN"/>
        </w:rPr>
        <w:t>一、</w:t>
      </w:r>
      <w:r>
        <w:rPr>
          <w:rFonts w:eastAsia="Times New Roman" w:cs="Times New Roman"/>
          <w:kern w:val="0"/>
          <w:sz w:val="21"/>
          <w:szCs w:val="21"/>
          <w:lang w:val="zh-CN"/>
        </w:rPr>
        <w:t xml:space="preserve"> </w:t>
      </w:r>
      <w:r>
        <w:rPr>
          <w:rFonts w:ascii="宋体" w:hAnsi="宋体" w:hint="eastAsia"/>
          <w:kern w:val="0"/>
          <w:sz w:val="21"/>
          <w:szCs w:val="21"/>
          <w:lang w:val="zh-CN"/>
        </w:rPr>
        <w:t>载有公司法定代表人、主管会计工作负责人、公司会计机构负责人（会计主管人员）签名并盖章的财务报表。</w:t>
      </w:r>
    </w:p>
    <w:p w:rsidR="00A9288A" w:rsidRDefault="007A4434">
      <w:pPr>
        <w:autoSpaceDE w:val="0"/>
        <w:autoSpaceDN w:val="0"/>
        <w:adjustRightInd w:val="0"/>
        <w:spacing w:before="0" w:after="0"/>
        <w:jc w:val="left"/>
        <w:rPr>
          <w:rFonts w:eastAsia="Times New Roman" w:cs="Times New Roman"/>
          <w:kern w:val="0"/>
          <w:sz w:val="21"/>
          <w:szCs w:val="21"/>
          <w:lang w:val="zh-CN"/>
        </w:rPr>
      </w:pPr>
      <w:r>
        <w:rPr>
          <w:rFonts w:ascii="宋体" w:hAnsi="宋体" w:hint="eastAsia"/>
          <w:kern w:val="0"/>
          <w:sz w:val="21"/>
          <w:szCs w:val="21"/>
          <w:lang w:val="zh-CN"/>
        </w:rPr>
        <w:t>二、</w:t>
      </w:r>
      <w:r>
        <w:rPr>
          <w:rFonts w:eastAsia="Times New Roman" w:cs="Times New Roman"/>
          <w:kern w:val="0"/>
          <w:sz w:val="21"/>
          <w:szCs w:val="21"/>
          <w:lang w:val="zh-CN"/>
        </w:rPr>
        <w:t xml:space="preserve"> </w:t>
      </w:r>
      <w:r>
        <w:rPr>
          <w:rFonts w:ascii="宋体" w:hAnsi="宋体" w:hint="eastAsia"/>
          <w:kern w:val="0"/>
          <w:sz w:val="21"/>
          <w:szCs w:val="21"/>
          <w:lang w:val="zh-CN"/>
        </w:rPr>
        <w:t>报告期内在证监会指定网站上公开披露过的所有公司文件的正本及公告的原稿。</w:t>
      </w:r>
    </w:p>
    <w:p w:rsidR="00A9288A" w:rsidRDefault="007A4434">
      <w:pPr>
        <w:autoSpaceDE w:val="0"/>
        <w:autoSpaceDN w:val="0"/>
        <w:adjustRightInd w:val="0"/>
        <w:spacing w:before="0" w:after="0"/>
        <w:jc w:val="left"/>
        <w:rPr>
          <w:rFonts w:eastAsia="Times New Roman" w:cs="Times New Roman"/>
          <w:kern w:val="0"/>
          <w:sz w:val="21"/>
          <w:szCs w:val="21"/>
          <w:lang w:val="zh-CN"/>
        </w:rPr>
      </w:pPr>
      <w:r>
        <w:rPr>
          <w:rFonts w:ascii="宋体" w:hAnsi="宋体" w:hint="eastAsia"/>
          <w:kern w:val="0"/>
          <w:sz w:val="21"/>
          <w:szCs w:val="21"/>
          <w:lang w:val="zh-CN"/>
        </w:rPr>
        <w:t>三、</w:t>
      </w:r>
      <w:r>
        <w:rPr>
          <w:rFonts w:eastAsia="Times New Roman" w:cs="Times New Roman"/>
          <w:kern w:val="0"/>
          <w:sz w:val="21"/>
          <w:szCs w:val="21"/>
          <w:lang w:val="zh-CN"/>
        </w:rPr>
        <w:t xml:space="preserve"> </w:t>
      </w:r>
      <w:r>
        <w:rPr>
          <w:rFonts w:ascii="宋体" w:hAnsi="宋体" w:hint="eastAsia"/>
          <w:kern w:val="0"/>
          <w:sz w:val="21"/>
          <w:szCs w:val="21"/>
          <w:lang w:val="zh-CN"/>
        </w:rPr>
        <w:t>经公司法定代表人签名的</w:t>
      </w:r>
      <w:r>
        <w:rPr>
          <w:rFonts w:eastAsia="Times New Roman" w:cs="Times New Roman"/>
          <w:kern w:val="0"/>
          <w:sz w:val="21"/>
          <w:szCs w:val="21"/>
          <w:lang w:val="zh-CN"/>
        </w:rPr>
        <w:t xml:space="preserve"> 2018</w:t>
      </w:r>
      <w:r>
        <w:rPr>
          <w:rFonts w:ascii="宋体" w:hAnsi="宋体" w:hint="eastAsia"/>
          <w:kern w:val="0"/>
          <w:sz w:val="21"/>
          <w:szCs w:val="21"/>
          <w:lang w:val="zh-CN"/>
        </w:rPr>
        <w:t>年半年度报告文本原件。</w:t>
      </w:r>
    </w:p>
    <w:p w:rsidR="00A9288A" w:rsidRDefault="007A4434">
      <w:pPr>
        <w:autoSpaceDE w:val="0"/>
        <w:autoSpaceDN w:val="0"/>
        <w:adjustRightInd w:val="0"/>
        <w:spacing w:before="0" w:after="0"/>
        <w:jc w:val="left"/>
        <w:rPr>
          <w:rFonts w:eastAsia="Times New Roman" w:cs="Times New Roman"/>
          <w:kern w:val="0"/>
          <w:sz w:val="21"/>
          <w:szCs w:val="21"/>
          <w:lang w:val="zh-CN"/>
        </w:rPr>
      </w:pPr>
      <w:r>
        <w:rPr>
          <w:rFonts w:ascii="宋体" w:hAnsi="宋体" w:hint="eastAsia"/>
          <w:kern w:val="0"/>
          <w:sz w:val="21"/>
          <w:szCs w:val="21"/>
          <w:lang w:val="zh-CN"/>
        </w:rPr>
        <w:t>四、</w:t>
      </w:r>
      <w:r>
        <w:rPr>
          <w:rFonts w:eastAsia="Times New Roman" w:cs="Times New Roman"/>
          <w:kern w:val="0"/>
          <w:sz w:val="21"/>
          <w:szCs w:val="21"/>
          <w:lang w:val="zh-CN"/>
        </w:rPr>
        <w:t xml:space="preserve"> </w:t>
      </w:r>
      <w:r>
        <w:rPr>
          <w:rFonts w:ascii="宋体" w:hAnsi="宋体" w:hint="eastAsia"/>
          <w:kern w:val="0"/>
          <w:sz w:val="21"/>
          <w:szCs w:val="21"/>
          <w:lang w:val="zh-CN"/>
        </w:rPr>
        <w:t>其他相关资料。</w:t>
      </w:r>
    </w:p>
    <w:p w:rsidR="007A4434" w:rsidRDefault="007A4434">
      <w:pPr>
        <w:autoSpaceDE w:val="0"/>
        <w:autoSpaceDN w:val="0"/>
        <w:adjustRightInd w:val="0"/>
        <w:spacing w:before="0" w:after="0"/>
        <w:jc w:val="left"/>
        <w:rPr>
          <w:rFonts w:eastAsia="Times New Roman" w:cs="Times New Roman"/>
          <w:kern w:val="0"/>
          <w:sz w:val="21"/>
          <w:szCs w:val="21"/>
          <w:lang w:val="zh-CN"/>
        </w:rPr>
      </w:pPr>
      <w:r>
        <w:rPr>
          <w:rFonts w:ascii="宋体" w:hAnsi="宋体" w:hint="eastAsia"/>
          <w:kern w:val="0"/>
          <w:sz w:val="21"/>
          <w:szCs w:val="21"/>
          <w:lang w:val="zh-CN"/>
        </w:rPr>
        <w:t>五、</w:t>
      </w:r>
      <w:r>
        <w:rPr>
          <w:rFonts w:eastAsia="Times New Roman" w:cs="Times New Roman"/>
          <w:kern w:val="0"/>
          <w:sz w:val="21"/>
          <w:szCs w:val="21"/>
          <w:lang w:val="zh-CN"/>
        </w:rPr>
        <w:t xml:space="preserve"> </w:t>
      </w:r>
      <w:r>
        <w:rPr>
          <w:rFonts w:ascii="宋体" w:hAnsi="宋体" w:hint="eastAsia"/>
          <w:kern w:val="0"/>
          <w:sz w:val="21"/>
          <w:szCs w:val="21"/>
          <w:lang w:val="zh-CN"/>
        </w:rPr>
        <w:t>以上备查文件的备置地点：公司董事会办公室。</w:t>
      </w:r>
    </w:p>
    <w:sectPr w:rsidR="007A4434">
      <w:pgSz w:w="11906" w:h="16838"/>
      <w:pgMar w:top="1440" w:right="1134" w:bottom="1440" w:left="1134"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6855" w:rsidRDefault="004E6855">
      <w:pPr>
        <w:autoSpaceDE w:val="0"/>
        <w:autoSpaceDN w:val="0"/>
        <w:adjustRightInd w:val="0"/>
        <w:spacing w:before="0" w:after="0"/>
        <w:jc w:val="left"/>
        <w:rPr>
          <w:rFonts w:cs="Times New Roman"/>
          <w:kern w:val="0"/>
          <w:sz w:val="24"/>
          <w:szCs w:val="24"/>
        </w:rPr>
      </w:pPr>
      <w:r>
        <w:rPr>
          <w:rFonts w:cs="Times New Roman"/>
          <w:kern w:val="0"/>
          <w:sz w:val="24"/>
          <w:szCs w:val="24"/>
        </w:rPr>
        <w:separator/>
      </w:r>
    </w:p>
  </w:endnote>
  <w:endnote w:type="continuationSeparator" w:id="0">
    <w:p w:rsidR="004E6855" w:rsidRDefault="004E6855">
      <w:pPr>
        <w:autoSpaceDE w:val="0"/>
        <w:autoSpaceDN w:val="0"/>
        <w:adjustRightInd w:val="0"/>
        <w:spacing w:before="0" w:after="0"/>
        <w:jc w:val="left"/>
        <w:rPr>
          <w:rFonts w:cs="Times New Roman"/>
          <w:kern w:val="0"/>
          <w:sz w:val="24"/>
          <w:szCs w:val="24"/>
        </w:rPr>
      </w:pPr>
      <w:r>
        <w:rPr>
          <w:rFonts w:cs="Times New Roman"/>
          <w:kern w:val="0"/>
          <w:sz w:val="24"/>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Segoe UI Symbol">
    <w:altName w:val="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2EEB" w:rsidRDefault="00B92EEB">
    <w:pPr>
      <w:pStyle w:val="a4"/>
      <w:rPr>
        <w:rFonts w:eastAsia="Times New Roman" w:cs="Times New Roman"/>
      </w:rPr>
    </w:pPr>
    <w:r>
      <w:rPr>
        <w:rFonts w:cs="Times New Roman"/>
      </w:rPr>
      <w:fldChar w:fldCharType="begin"/>
    </w:r>
    <w:r>
      <w:rPr>
        <w:rFonts w:cs="Times New Roman"/>
      </w:rPr>
      <w:instrText xml:space="preserve"> PAGE </w:instrText>
    </w:r>
    <w:r>
      <w:rPr>
        <w:rFonts w:cs="Times New Roman"/>
      </w:rPr>
      <w:fldChar w:fldCharType="separate"/>
    </w:r>
    <w:r w:rsidR="00A3705B">
      <w:rPr>
        <w:rFonts w:cs="Times New Roman"/>
        <w:noProof/>
      </w:rPr>
      <w:t>2</w:t>
    </w:r>
    <w:r>
      <w:rPr>
        <w:rFonts w:cs="Times New Roma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6855" w:rsidRDefault="004E6855">
      <w:pPr>
        <w:autoSpaceDE w:val="0"/>
        <w:autoSpaceDN w:val="0"/>
        <w:adjustRightInd w:val="0"/>
        <w:spacing w:before="0" w:after="0"/>
        <w:jc w:val="left"/>
        <w:rPr>
          <w:rFonts w:cs="Times New Roman"/>
          <w:kern w:val="0"/>
          <w:sz w:val="24"/>
          <w:szCs w:val="24"/>
        </w:rPr>
      </w:pPr>
      <w:r>
        <w:rPr>
          <w:rFonts w:cs="Times New Roman"/>
          <w:kern w:val="0"/>
          <w:sz w:val="24"/>
          <w:szCs w:val="24"/>
        </w:rPr>
        <w:separator/>
      </w:r>
    </w:p>
  </w:footnote>
  <w:footnote w:type="continuationSeparator" w:id="0">
    <w:p w:rsidR="004E6855" w:rsidRDefault="004E6855">
      <w:pPr>
        <w:autoSpaceDE w:val="0"/>
        <w:autoSpaceDN w:val="0"/>
        <w:adjustRightInd w:val="0"/>
        <w:spacing w:before="0" w:after="0"/>
        <w:jc w:val="left"/>
        <w:rPr>
          <w:rFonts w:cs="Times New Roman"/>
          <w:kern w:val="0"/>
          <w:sz w:val="24"/>
          <w:szCs w:val="24"/>
        </w:rPr>
      </w:pPr>
      <w:r>
        <w:rPr>
          <w:rFonts w:cs="Times New Roman"/>
          <w:kern w:val="0"/>
          <w:sz w:val="24"/>
          <w:szCs w:val="24"/>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2EEB" w:rsidRDefault="00B92EEB">
    <w:pPr>
      <w:pStyle w:val="a5"/>
      <w:rPr>
        <w:rFonts w:eastAsia="Times New Roman" w:cs="Times New Roman"/>
      </w:rPr>
    </w:pPr>
    <w:r>
      <w:rPr>
        <w:rFonts w:hint="eastAsia"/>
      </w:rPr>
      <w:t>北京海兰信数据科技股份有限公司</w:t>
    </w:r>
    <w:r>
      <w:rPr>
        <w:rFonts w:cs="Times New Roman"/>
      </w:rPr>
      <w:t>2018</w:t>
    </w:r>
    <w:r>
      <w:rPr>
        <w:rFonts w:hint="eastAsia"/>
      </w:rPr>
      <w:t>年半年度报告全文</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oNotTrackMoves/>
  <w:defaultTabStop w:val="420"/>
  <w:doNotHyphenateCaps/>
  <w:drawingGridHorizontalSpacing w:val="90"/>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lignTablesRowByRow/>
    <w:adjustLineHeightInTable/>
    <w:layoutTableRowsApart/>
    <w:doNotSnapToGridInCell/>
    <w:selectFldWithFirstOrLastChar/>
    <w:doNotUseEastAsianBreakRules/>
    <w:useWord2002TableStyle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21C3"/>
    <w:rsid w:val="0036725F"/>
    <w:rsid w:val="00380E8E"/>
    <w:rsid w:val="003C6AA5"/>
    <w:rsid w:val="004E6855"/>
    <w:rsid w:val="007A4434"/>
    <w:rsid w:val="007F53C6"/>
    <w:rsid w:val="008421C3"/>
    <w:rsid w:val="00843EF5"/>
    <w:rsid w:val="008768AC"/>
    <w:rsid w:val="009955B3"/>
    <w:rsid w:val="00A3705B"/>
    <w:rsid w:val="00A9288A"/>
    <w:rsid w:val="00B66435"/>
    <w:rsid w:val="00B92EEB"/>
    <w:rsid w:val="00CB1F5D"/>
    <w:rsid w:val="00E826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15:docId w15:val="{179E2697-8363-4187-921D-37AA9632E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1" w:count="371">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0"/>
    <w:lsdException w:name="header" w:unhideWhenUsed="1" w:qFormat="0"/>
    <w:lsdException w:name="footer" w:unhideWhenUsed="1" w:qFormat="0"/>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unhideWhenUsed="1" w:qFormat="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qFormat="0"/>
    <w:lsdException w:name="HTML Bottom of Form" w:qFormat="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0"/>
    <w:lsdException w:name="No List" w:semiHidden="1" w:unhideWhenUsed="1" w:qFormat="0"/>
    <w:lsdException w:name="Outline List 1" w:qFormat="0"/>
    <w:lsdException w:name="Outline List 2" w:qFormat="0"/>
    <w:lsdException w:name="Outline List 3" w:qFormat="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0"/>
    <w:lsdException w:name="Table Grid" w:uiPriority="39"/>
    <w:lsdException w:name="Table Theme" w:semiHidden="1" w:unhideWhenUsed="1"/>
    <w:lsdException w:name="Placeholder Text" w:qFormat="0"/>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qFormat="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qFormat="0"/>
    <w:lsdException w:name="TOC Heading" w:semiHidden="1" w:uiPriority="39" w:unhideWhenUsed="1"/>
    <w:lsdException w:name="Plain Table 1" w:uiPriority="41" w:qFormat="0"/>
    <w:lsdException w:name="Plain Table 2" w:uiPriority="42" w:qFormat="0"/>
    <w:lsdException w:name="Plain Table 3" w:uiPriority="43" w:qFormat="0"/>
    <w:lsdException w:name="Plain Table 4" w:uiPriority="44" w:qFormat="0"/>
    <w:lsdException w:name="Plain Table 5" w:uiPriority="45" w:qFormat="0"/>
    <w:lsdException w:name="Grid Table Light" w:uiPriority="40" w:qFormat="0"/>
    <w:lsdException w:name="Grid Table 1 Light" w:uiPriority="46" w:qFormat="0"/>
    <w:lsdException w:name="Grid Table 2" w:uiPriority="47" w:qFormat="0"/>
    <w:lsdException w:name="Grid Table 3" w:uiPriority="48" w:qFormat="0"/>
    <w:lsdException w:name="Grid Table 4" w:uiPriority="49" w:qFormat="0"/>
    <w:lsdException w:name="Grid Table 5 Dark" w:uiPriority="50" w:qFormat="0"/>
    <w:lsdException w:name="Grid Table 6 Colorful" w:uiPriority="51" w:qFormat="0"/>
    <w:lsdException w:name="Grid Table 7 Colorful" w:uiPriority="52" w:qFormat="0"/>
    <w:lsdException w:name="Grid Table 1 Light Accent 1" w:uiPriority="46" w:qFormat="0"/>
    <w:lsdException w:name="Grid Table 2 Accent 1" w:uiPriority="47" w:qFormat="0"/>
    <w:lsdException w:name="Grid Table 3 Accent 1" w:uiPriority="48" w:qFormat="0"/>
    <w:lsdException w:name="Grid Table 4 Accent 1" w:uiPriority="49" w:qFormat="0"/>
    <w:lsdException w:name="Grid Table 5 Dark Accent 1" w:uiPriority="50" w:qFormat="0"/>
    <w:lsdException w:name="Grid Table 6 Colorful Accent 1" w:uiPriority="51" w:qFormat="0"/>
    <w:lsdException w:name="Grid Table 7 Colorful Accent 1" w:uiPriority="52" w:qFormat="0"/>
    <w:lsdException w:name="Grid Table 1 Light Accent 2" w:uiPriority="46" w:qFormat="0"/>
    <w:lsdException w:name="Grid Table 2 Accent 2" w:uiPriority="47" w:qFormat="0"/>
    <w:lsdException w:name="Grid Table 3 Accent 2" w:uiPriority="48" w:qFormat="0"/>
    <w:lsdException w:name="Grid Table 4 Accent 2" w:uiPriority="49" w:qFormat="0"/>
    <w:lsdException w:name="Grid Table 5 Dark Accent 2" w:uiPriority="50" w:qFormat="0"/>
    <w:lsdException w:name="Grid Table 6 Colorful Accent 2" w:uiPriority="51" w:qFormat="0"/>
    <w:lsdException w:name="Grid Table 7 Colorful Accent 2" w:uiPriority="52" w:qFormat="0"/>
    <w:lsdException w:name="Grid Table 1 Light Accent 3" w:uiPriority="46" w:qFormat="0"/>
    <w:lsdException w:name="Grid Table 2 Accent 3" w:uiPriority="47" w:qFormat="0"/>
    <w:lsdException w:name="Grid Table 3 Accent 3" w:uiPriority="48" w:qFormat="0"/>
    <w:lsdException w:name="Grid Table 4 Accent 3" w:uiPriority="49" w:qFormat="0"/>
    <w:lsdException w:name="Grid Table 5 Dark Accent 3" w:uiPriority="50" w:qFormat="0"/>
    <w:lsdException w:name="Grid Table 6 Colorful Accent 3" w:uiPriority="51" w:qFormat="0"/>
    <w:lsdException w:name="Grid Table 7 Colorful Accent 3" w:uiPriority="52" w:qFormat="0"/>
    <w:lsdException w:name="Grid Table 1 Light Accent 4" w:uiPriority="46" w:qFormat="0"/>
    <w:lsdException w:name="Grid Table 2 Accent 4" w:uiPriority="47" w:qFormat="0"/>
    <w:lsdException w:name="Grid Table 3 Accent 4" w:uiPriority="48" w:qFormat="0"/>
    <w:lsdException w:name="Grid Table 4 Accent 4" w:uiPriority="49" w:qFormat="0"/>
    <w:lsdException w:name="Grid Table 5 Dark Accent 4" w:uiPriority="50" w:qFormat="0"/>
    <w:lsdException w:name="Grid Table 6 Colorful Accent 4" w:uiPriority="51" w:qFormat="0"/>
    <w:lsdException w:name="Grid Table 7 Colorful Accent 4" w:uiPriority="52" w:qFormat="0"/>
    <w:lsdException w:name="Grid Table 1 Light Accent 5" w:uiPriority="46" w:qFormat="0"/>
    <w:lsdException w:name="Grid Table 2 Accent 5" w:uiPriority="47" w:qFormat="0"/>
    <w:lsdException w:name="Grid Table 3 Accent 5" w:uiPriority="48" w:qFormat="0"/>
    <w:lsdException w:name="Grid Table 4 Accent 5" w:uiPriority="49" w:qFormat="0"/>
    <w:lsdException w:name="Grid Table 5 Dark Accent 5" w:uiPriority="50" w:qFormat="0"/>
    <w:lsdException w:name="Grid Table 6 Colorful Accent 5" w:uiPriority="51" w:qFormat="0"/>
    <w:lsdException w:name="Grid Table 7 Colorful Accent 5" w:uiPriority="52" w:qFormat="0"/>
    <w:lsdException w:name="Grid Table 1 Light Accent 6" w:uiPriority="46" w:qFormat="0"/>
    <w:lsdException w:name="Grid Table 2 Accent 6" w:uiPriority="47" w:qFormat="0"/>
    <w:lsdException w:name="Grid Table 3 Accent 6" w:uiPriority="48" w:qFormat="0"/>
    <w:lsdException w:name="Grid Table 4 Accent 6" w:uiPriority="49" w:qFormat="0"/>
    <w:lsdException w:name="Grid Table 5 Dark Accent 6" w:uiPriority="50" w:qFormat="0"/>
    <w:lsdException w:name="Grid Table 6 Colorful Accent 6" w:uiPriority="51" w:qFormat="0"/>
    <w:lsdException w:name="Grid Table 7 Colorful Accent 6" w:uiPriority="52" w:qFormat="0"/>
    <w:lsdException w:name="List Table 1 Light" w:uiPriority="46" w:qFormat="0"/>
    <w:lsdException w:name="List Table 2" w:uiPriority="47" w:qFormat="0"/>
    <w:lsdException w:name="List Table 3" w:uiPriority="48" w:qFormat="0"/>
    <w:lsdException w:name="List Table 4" w:uiPriority="49" w:qFormat="0"/>
    <w:lsdException w:name="List Table 5 Dark" w:uiPriority="50" w:qFormat="0"/>
    <w:lsdException w:name="List Table 6 Colorful" w:uiPriority="51" w:qFormat="0"/>
    <w:lsdException w:name="List Table 7 Colorful" w:uiPriority="52" w:qFormat="0"/>
    <w:lsdException w:name="List Table 1 Light Accent 1" w:uiPriority="46" w:qFormat="0"/>
    <w:lsdException w:name="List Table 2 Accent 1" w:uiPriority="47" w:qFormat="0"/>
    <w:lsdException w:name="List Table 3 Accent 1" w:uiPriority="48" w:qFormat="0"/>
    <w:lsdException w:name="List Table 4 Accent 1" w:uiPriority="49" w:qFormat="0"/>
    <w:lsdException w:name="List Table 5 Dark Accent 1" w:uiPriority="50" w:qFormat="0"/>
    <w:lsdException w:name="List Table 6 Colorful Accent 1" w:uiPriority="51" w:qFormat="0"/>
    <w:lsdException w:name="List Table 7 Colorful Accent 1" w:uiPriority="52" w:qFormat="0"/>
    <w:lsdException w:name="List Table 1 Light Accent 2" w:uiPriority="46" w:qFormat="0"/>
    <w:lsdException w:name="List Table 2 Accent 2" w:uiPriority="47" w:qFormat="0"/>
    <w:lsdException w:name="List Table 3 Accent 2" w:uiPriority="48" w:qFormat="0"/>
    <w:lsdException w:name="List Table 4 Accent 2" w:uiPriority="49" w:qFormat="0"/>
    <w:lsdException w:name="List Table 5 Dark Accent 2" w:uiPriority="50" w:qFormat="0"/>
    <w:lsdException w:name="List Table 6 Colorful Accent 2" w:uiPriority="51" w:qFormat="0"/>
    <w:lsdException w:name="List Table 7 Colorful Accent 2" w:uiPriority="52" w:qFormat="0"/>
    <w:lsdException w:name="List Table 1 Light Accent 3" w:uiPriority="46" w:qFormat="0"/>
    <w:lsdException w:name="List Table 2 Accent 3" w:uiPriority="47" w:qFormat="0"/>
    <w:lsdException w:name="List Table 3 Accent 3" w:uiPriority="48" w:qFormat="0"/>
    <w:lsdException w:name="List Table 4 Accent 3" w:uiPriority="49" w:qFormat="0"/>
    <w:lsdException w:name="List Table 5 Dark Accent 3" w:uiPriority="50" w:qFormat="0"/>
    <w:lsdException w:name="List Table 6 Colorful Accent 3" w:uiPriority="51" w:qFormat="0"/>
    <w:lsdException w:name="List Table 7 Colorful Accent 3" w:uiPriority="52" w:qFormat="0"/>
    <w:lsdException w:name="List Table 1 Light Accent 4" w:uiPriority="46" w:qFormat="0"/>
    <w:lsdException w:name="List Table 2 Accent 4" w:uiPriority="47" w:qFormat="0"/>
    <w:lsdException w:name="List Table 3 Accent 4" w:uiPriority="48" w:qFormat="0"/>
    <w:lsdException w:name="List Table 4 Accent 4" w:uiPriority="49" w:qFormat="0"/>
    <w:lsdException w:name="List Table 5 Dark Accent 4" w:uiPriority="50" w:qFormat="0"/>
    <w:lsdException w:name="List Table 6 Colorful Accent 4" w:uiPriority="51" w:qFormat="0"/>
    <w:lsdException w:name="List Table 7 Colorful Accent 4" w:uiPriority="52" w:qFormat="0"/>
    <w:lsdException w:name="List Table 1 Light Accent 5" w:uiPriority="46" w:qFormat="0"/>
    <w:lsdException w:name="List Table 2 Accent 5" w:uiPriority="47" w:qFormat="0"/>
    <w:lsdException w:name="List Table 3 Accent 5" w:uiPriority="48" w:qFormat="0"/>
    <w:lsdException w:name="List Table 4 Accent 5" w:uiPriority="49" w:qFormat="0"/>
    <w:lsdException w:name="List Table 5 Dark Accent 5" w:uiPriority="50" w:qFormat="0"/>
    <w:lsdException w:name="List Table 6 Colorful Accent 5" w:uiPriority="51" w:qFormat="0"/>
    <w:lsdException w:name="List Table 7 Colorful Accent 5" w:uiPriority="52" w:qFormat="0"/>
    <w:lsdException w:name="List Table 1 Light Accent 6" w:uiPriority="46" w:qFormat="0"/>
    <w:lsdException w:name="List Table 2 Accent 6" w:uiPriority="47" w:qFormat="0"/>
    <w:lsdException w:name="List Table 3 Accent 6" w:uiPriority="48" w:qFormat="0"/>
    <w:lsdException w:name="List Table 4 Accent 6" w:uiPriority="49" w:qFormat="0"/>
    <w:lsdException w:name="List Table 5 Dark Accent 6" w:uiPriority="50" w:qFormat="0"/>
    <w:lsdException w:name="List Table 6 Colorful Accent 6" w:uiPriority="51" w:qFormat="0"/>
    <w:lsdException w:name="List Table 7 Colorful Accent 6" w:uiPriority="52" w:qFormat="0"/>
  </w:latentStyles>
  <w:style w:type="paragraph" w:default="1" w:styleId="a">
    <w:name w:val="Normal"/>
    <w:qFormat/>
    <w:pPr>
      <w:widowControl w:val="0"/>
      <w:spacing w:before="40" w:after="40"/>
      <w:jc w:val="both"/>
    </w:pPr>
    <w:rPr>
      <w:rFonts w:cs="宋体"/>
      <w:kern w:val="2"/>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uiPriority w:val="99"/>
    <w:unhideWhenUsed/>
    <w:rPr>
      <w:sz w:val="21"/>
      <w:szCs w:val="21"/>
    </w:rPr>
  </w:style>
  <w:style w:type="character" w:customStyle="1" w:styleId="Char">
    <w:name w:val="页脚 Char"/>
    <w:link w:val="a4"/>
    <w:uiPriority w:val="99"/>
    <w:unhideWhenUsed/>
    <w:locked/>
    <w:rPr>
      <w:rFonts w:cs="宋体"/>
      <w:sz w:val="18"/>
      <w:szCs w:val="18"/>
    </w:rPr>
  </w:style>
  <w:style w:type="character" w:customStyle="1" w:styleId="Char0">
    <w:name w:val="页眉 Char"/>
    <w:link w:val="a5"/>
    <w:uiPriority w:val="99"/>
    <w:unhideWhenUsed/>
    <w:locked/>
    <w:rPr>
      <w:rFonts w:cs="宋体"/>
      <w:sz w:val="18"/>
      <w:szCs w:val="18"/>
    </w:rPr>
  </w:style>
  <w:style w:type="character" w:customStyle="1" w:styleId="Char1">
    <w:name w:val="标题 Char"/>
    <w:link w:val="a6"/>
    <w:uiPriority w:val="10"/>
    <w:unhideWhenUsed/>
    <w:locked/>
    <w:rPr>
      <w:rFonts w:ascii="Calibri Light" w:hAnsi="Calibri Light" w:cs="宋体"/>
      <w:b/>
      <w:bCs/>
      <w:sz w:val="32"/>
      <w:szCs w:val="32"/>
    </w:rPr>
  </w:style>
  <w:style w:type="character" w:customStyle="1" w:styleId="Char2">
    <w:name w:val="批注文字 Char"/>
    <w:link w:val="a7"/>
    <w:uiPriority w:val="99"/>
    <w:unhideWhenUsed/>
    <w:locked/>
    <w:rPr>
      <w:rFonts w:cs="宋体"/>
      <w:sz w:val="18"/>
      <w:szCs w:val="18"/>
    </w:rPr>
  </w:style>
  <w:style w:type="character" w:customStyle="1" w:styleId="Char3">
    <w:name w:val="批注主题 Char"/>
    <w:link w:val="a8"/>
    <w:uiPriority w:val="99"/>
    <w:unhideWhenUsed/>
    <w:locked/>
    <w:rPr>
      <w:rFonts w:cs="宋体"/>
      <w:b/>
      <w:bCs/>
      <w:sz w:val="18"/>
      <w:szCs w:val="18"/>
    </w:rPr>
  </w:style>
  <w:style w:type="character" w:customStyle="1" w:styleId="Char4">
    <w:name w:val="批注框文本 Char"/>
    <w:link w:val="a9"/>
    <w:uiPriority w:val="99"/>
    <w:unhideWhenUsed/>
    <w:locked/>
    <w:rPr>
      <w:rFonts w:cs="宋体"/>
      <w:sz w:val="18"/>
      <w:szCs w:val="18"/>
    </w:rPr>
  </w:style>
  <w:style w:type="paragraph" w:styleId="a4">
    <w:name w:val="footer"/>
    <w:basedOn w:val="a"/>
    <w:link w:val="Char"/>
    <w:uiPriority w:val="99"/>
    <w:unhideWhenUsed/>
    <w:pPr>
      <w:tabs>
        <w:tab w:val="center" w:pos="4153"/>
        <w:tab w:val="right" w:pos="8306"/>
      </w:tabs>
      <w:snapToGrid w:val="0"/>
      <w:spacing w:before="0" w:after="0"/>
      <w:jc w:val="right"/>
    </w:pPr>
  </w:style>
  <w:style w:type="character" w:customStyle="1" w:styleId="Char10">
    <w:name w:val="页脚 Char1"/>
    <w:uiPriority w:val="99"/>
    <w:semiHidden/>
    <w:rPr>
      <w:rFonts w:cs="宋体"/>
      <w:sz w:val="18"/>
      <w:szCs w:val="18"/>
    </w:rPr>
  </w:style>
  <w:style w:type="paragraph" w:styleId="a7">
    <w:name w:val="annotation text"/>
    <w:basedOn w:val="a"/>
    <w:link w:val="Char2"/>
    <w:uiPriority w:val="99"/>
    <w:unhideWhenUsed/>
    <w:pPr>
      <w:jc w:val="left"/>
    </w:pPr>
  </w:style>
  <w:style w:type="character" w:customStyle="1" w:styleId="Char11">
    <w:name w:val="批注文字 Char1"/>
    <w:uiPriority w:val="99"/>
    <w:semiHidden/>
    <w:rPr>
      <w:rFonts w:cs="宋体"/>
      <w:sz w:val="18"/>
      <w:szCs w:val="18"/>
    </w:rPr>
  </w:style>
  <w:style w:type="paragraph" w:styleId="a8">
    <w:name w:val="annotation subject"/>
    <w:basedOn w:val="a7"/>
    <w:next w:val="a7"/>
    <w:link w:val="Char3"/>
    <w:uiPriority w:val="99"/>
    <w:unhideWhenUsed/>
    <w:rPr>
      <w:b/>
      <w:bCs/>
    </w:rPr>
  </w:style>
  <w:style w:type="character" w:customStyle="1" w:styleId="Char12">
    <w:name w:val="批注主题 Char1"/>
    <w:uiPriority w:val="99"/>
    <w:semiHidden/>
    <w:rPr>
      <w:rFonts w:cs="宋体"/>
      <w:b/>
      <w:bCs/>
      <w:sz w:val="18"/>
      <w:szCs w:val="18"/>
    </w:rPr>
  </w:style>
  <w:style w:type="paragraph" w:styleId="a6">
    <w:name w:val="Title"/>
    <w:basedOn w:val="a"/>
    <w:next w:val="a"/>
    <w:link w:val="Char1"/>
    <w:uiPriority w:val="99"/>
    <w:qFormat/>
    <w:pPr>
      <w:keepNext/>
      <w:keepLines/>
      <w:spacing w:before="340" w:after="330" w:line="578" w:lineRule="auto"/>
      <w:jc w:val="center"/>
    </w:pPr>
    <w:rPr>
      <w:b/>
      <w:bCs/>
      <w:kern w:val="32"/>
      <w:sz w:val="32"/>
      <w:szCs w:val="32"/>
    </w:rPr>
  </w:style>
  <w:style w:type="character" w:customStyle="1" w:styleId="Char13">
    <w:name w:val="标题 Char1"/>
    <w:uiPriority w:val="10"/>
    <w:rPr>
      <w:rFonts w:ascii="Calibri Light" w:hAnsi="Calibri Light" w:cs="Times New Roman"/>
      <w:b/>
      <w:bCs/>
      <w:sz w:val="32"/>
      <w:szCs w:val="32"/>
    </w:rPr>
  </w:style>
  <w:style w:type="paragraph" w:styleId="a5">
    <w:name w:val="header"/>
    <w:basedOn w:val="a"/>
    <w:link w:val="Char0"/>
    <w:uiPriority w:val="99"/>
    <w:unhideWhenUsed/>
    <w:pPr>
      <w:pBdr>
        <w:bottom w:val="single" w:sz="6" w:space="1" w:color="auto"/>
      </w:pBdr>
      <w:tabs>
        <w:tab w:val="center" w:pos="4153"/>
        <w:tab w:val="right" w:pos="8306"/>
      </w:tabs>
      <w:snapToGrid w:val="0"/>
      <w:spacing w:before="0" w:after="0"/>
      <w:jc w:val="right"/>
    </w:pPr>
  </w:style>
  <w:style w:type="character" w:customStyle="1" w:styleId="Char14">
    <w:name w:val="页眉 Char1"/>
    <w:uiPriority w:val="99"/>
    <w:semiHidden/>
    <w:rPr>
      <w:rFonts w:cs="宋体"/>
      <w:sz w:val="18"/>
      <w:szCs w:val="18"/>
    </w:rPr>
  </w:style>
  <w:style w:type="paragraph" w:styleId="a9">
    <w:name w:val="Balloon Text"/>
    <w:basedOn w:val="a"/>
    <w:link w:val="Char4"/>
    <w:uiPriority w:val="99"/>
    <w:unhideWhenUsed/>
    <w:pPr>
      <w:spacing w:before="0" w:after="0"/>
    </w:pPr>
  </w:style>
  <w:style w:type="character" w:customStyle="1" w:styleId="Char15">
    <w:name w:val="批注框文本 Char1"/>
    <w:uiPriority w:val="99"/>
    <w:semiHidden/>
    <w:rPr>
      <w:rFonts w:cs="宋体"/>
      <w:sz w:val="18"/>
      <w:szCs w:val="18"/>
    </w:rPr>
  </w:style>
  <w:style w:type="paragraph" w:customStyle="1" w:styleId="Chapter">
    <w:name w:val="Chapter"/>
    <w:next w:val="a"/>
    <w:uiPriority w:val="99"/>
    <w:unhideWhenUsed/>
    <w:pPr>
      <w:keepNext/>
      <w:keepLines/>
      <w:widowControl w:val="0"/>
      <w:spacing w:before="300" w:after="300" w:line="241" w:lineRule="auto"/>
      <w:jc w:val="both"/>
    </w:pPr>
    <w:rPr>
      <w:rFonts w:cs="宋体"/>
      <w:b/>
      <w:bCs/>
      <w:kern w:val="28"/>
      <w:sz w:val="24"/>
      <w:szCs w:val="24"/>
    </w:rPr>
  </w:style>
  <w:style w:type="paragraph" w:customStyle="1" w:styleId="Section">
    <w:name w:val="Section"/>
    <w:next w:val="a"/>
    <w:uiPriority w:val="99"/>
    <w:unhideWhenUsed/>
    <w:pPr>
      <w:keepNext/>
      <w:keepLines/>
      <w:widowControl w:val="0"/>
      <w:spacing w:before="300" w:after="300" w:line="241" w:lineRule="auto"/>
      <w:jc w:val="both"/>
    </w:pPr>
    <w:rPr>
      <w:rFonts w:cs="宋体"/>
      <w:b/>
      <w:bCs/>
      <w:kern w:val="28"/>
      <w:sz w:val="21"/>
      <w:szCs w:val="21"/>
    </w:rPr>
  </w:style>
  <w:style w:type="paragraph" w:styleId="1">
    <w:name w:val="toc 1"/>
    <w:basedOn w:val="a"/>
    <w:next w:val="a"/>
    <w:autoRedefine/>
    <w:uiPriority w:val="39"/>
    <w:unhideWhenUsed/>
    <w:qFormat/>
    <w:rsid w:val="00A3705B"/>
  </w:style>
  <w:style w:type="character" w:styleId="aa">
    <w:name w:val="Hyperlink"/>
    <w:uiPriority w:val="99"/>
    <w:unhideWhenUsed/>
    <w:rsid w:val="00A3705B"/>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image" Target="media/image5.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4.png"/><Relationship Id="rId5" Type="http://schemas.openxmlformats.org/officeDocument/2006/relationships/endnotes" Target="endnotes.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143</Pages>
  <Words>18302</Words>
  <Characters>104324</Characters>
  <Application>Microsoft Office Word</Application>
  <DocSecurity>0</DocSecurity>
  <Lines>869</Lines>
  <Paragraphs>244</Paragraphs>
  <ScaleCrop>false</ScaleCrop>
  <Company/>
  <LinksUpToDate>false</LinksUpToDate>
  <CharactersWithSpaces>122382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ge</cp:lastModifiedBy>
  <cp:revision>10</cp:revision>
  <dcterms:created xsi:type="dcterms:W3CDTF">2018-08-07T11:08:00Z</dcterms:created>
  <dcterms:modified xsi:type="dcterms:W3CDTF">2018-08-10T03:18:00Z</dcterms:modified>
</cp:coreProperties>
</file>